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tiff" ContentType="image/tif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14:paraId="69E6E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021BAB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A6D5C2D">
            <w:pPr>
              <w:pStyle w:val="18"/>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w:t>
            </w:r>
            <w:r>
              <w:rPr>
                <w:rFonts w:hint="eastAsia" w:ascii="黑体" w:hAnsi="黑体" w:eastAsia="黑体"/>
                <w:sz w:val="21"/>
                <w:szCs w:val="21"/>
              </w:rPr>
              <w:t>.</w:t>
            </w:r>
            <w:r>
              <w:rPr>
                <w:rFonts w:ascii="黑体" w:hAnsi="黑体" w:eastAsia="黑体"/>
                <w:sz w:val="21"/>
                <w:szCs w:val="21"/>
              </w:rPr>
              <w:t>080</w:t>
            </w:r>
            <w:r>
              <w:rPr>
                <w:rFonts w:ascii="黑体" w:hAnsi="黑体" w:eastAsia="黑体"/>
                <w:sz w:val="21"/>
                <w:szCs w:val="21"/>
              </w:rPr>
              <w:fldChar w:fldCharType="end"/>
            </w:r>
            <w:bookmarkEnd w:id="0"/>
          </w:p>
        </w:tc>
      </w:tr>
      <w:tr w14:paraId="40DC0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5A2C2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2C634C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G</w:t>
            </w:r>
            <w:r>
              <w:rPr>
                <w:rFonts w:ascii="黑体" w:hAnsi="黑体" w:eastAsia="黑体"/>
                <w:sz w:val="21"/>
                <w:szCs w:val="21"/>
              </w:rPr>
              <w:t>21</w:t>
            </w:r>
            <w:r>
              <w:rPr>
                <w:rFonts w:ascii="黑体" w:hAnsi="黑体" w:eastAsia="黑体"/>
                <w:sz w:val="21"/>
                <w:szCs w:val="21"/>
              </w:rPr>
              <w:fldChar w:fldCharType="end"/>
            </w:r>
            <w:bookmarkEnd w:id="1"/>
          </w:p>
        </w:tc>
      </w:tr>
    </w:tbl>
    <w:p w14:paraId="141CEF18">
      <w:pPr>
        <w:pStyle w:val="50"/>
        <w:framePr w:w="9639" w:h="624" w:hRule="exact" w:hSpace="181" w:vSpace="181" w:wrap="around" w:hAnchor="page" w:x="1305" w:y="2269"/>
      </w:pPr>
      <w:bookmarkStart w:id="2" w:name="_Hlk26473981"/>
      <w:r>
        <w:rPr>
          <w:rFonts w:hint="eastAsia"/>
        </w:rPr>
        <w:t>中华人民共和国国家标准</w:t>
      </w:r>
    </w:p>
    <w:bookmarkEnd w:id="2"/>
    <w:p w14:paraId="38DD00A3">
      <w:pPr>
        <w:pStyle w:val="195"/>
        <w:framePr/>
        <w:rPr>
          <w:lang w:val="fr-FR"/>
        </w:rPr>
      </w:pPr>
      <w:r>
        <w:rPr>
          <w:rFonts w:ascii="Times New Roman"/>
        </w:rPr>
        <w:fldChar w:fldCharType="begin">
          <w:ffData>
            <w:name w:val="文字1"/>
            <w:enabled/>
            <w:calcOnExit w:val="0"/>
            <w:textInput>
              <w:default w:val="GB/T"/>
            </w:textInput>
          </w:ffData>
        </w:fldChar>
      </w:r>
      <w:bookmarkStart w:id="3" w:name="文字1"/>
      <w:r>
        <w:rPr>
          <w:rFonts w:ascii="Times New Roman"/>
          <w:lang w:val="fr-FR"/>
        </w:rPr>
        <w:instrText xml:space="preserve"> FORMTEXT </w:instrText>
      </w:r>
      <w:r>
        <w:rPr>
          <w:rFonts w:ascii="Times New Roman"/>
        </w:rPr>
        <w:fldChar w:fldCharType="separate"/>
      </w:r>
      <w:r>
        <w:rPr>
          <w:rFonts w:ascii="Times New Roman"/>
          <w:lang w:val="fr-FR"/>
        </w:rPr>
        <w:t>GB/T</w:t>
      </w:r>
      <w:r>
        <w:rPr>
          <w:rFonts w:ascii="Times New Roman"/>
        </w:rP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t>35113</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5C0FC11F">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代替 GB/T 35113</w:t>
      </w:r>
      <w:r>
        <w:rPr>
          <w:rFonts w:hint="eastAsia" w:hAnsi="黑体"/>
        </w:rPr>
        <w:t>-</w:t>
      </w:r>
      <w:r>
        <w:rPr>
          <w:rFonts w:hAnsi="黑体"/>
        </w:rPr>
        <w:t>2017</w:t>
      </w:r>
      <w:r>
        <w:rPr>
          <w:rFonts w:hAnsi="黑体"/>
        </w:rPr>
        <w:fldChar w:fldCharType="end"/>
      </w:r>
      <w:bookmarkEnd w:id="6"/>
    </w:p>
    <w:p w14:paraId="3AEF7538">
      <w:pPr>
        <w:spacing w:line="240" w:lineRule="auto"/>
        <w:ind w:left="8080"/>
        <w:rPr>
          <w:rFonts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478E0D43">
      <w:pPr>
        <w:pStyle w:val="50"/>
        <w:framePr w:w="9639" w:h="6976" w:hRule="exact" w:hSpace="0" w:vSpace="0" w:wrap="around" w:hAnchor="page" w:y="6408"/>
        <w:jc w:val="center"/>
        <w:rPr>
          <w:rFonts w:ascii="黑体" w:hAnsi="黑体" w:eastAsia="黑体"/>
          <w:b w:val="0"/>
          <w:bCs w:val="0"/>
          <w:w w:val="100"/>
        </w:rPr>
      </w:pPr>
    </w:p>
    <w:p w14:paraId="2EF440C5">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稳定性肥料</w:t>
      </w:r>
      <w:r>
        <w:fldChar w:fldCharType="end"/>
      </w:r>
      <w:bookmarkEnd w:id="7"/>
    </w:p>
    <w:p w14:paraId="62D66D7D">
      <w:pPr>
        <w:framePr w:w="9639" w:h="6974" w:hRule="exact" w:wrap="around" w:vAnchor="page" w:hAnchor="page" w:x="1419" w:y="6408" w:anchorLock="1"/>
        <w:ind w:left="-1418"/>
      </w:pPr>
    </w:p>
    <w:p w14:paraId="4822F121">
      <w:pPr>
        <w:pStyle w:val="125"/>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Stabilized fertilizer</w:t>
      </w:r>
      <w:r>
        <w:rPr>
          <w:rFonts w:ascii="黑体" w:hAnsi="黑体" w:eastAsia="黑体"/>
          <w:szCs w:val="28"/>
        </w:rPr>
        <w:fldChar w:fldCharType="end"/>
      </w:r>
      <w:bookmarkEnd w:id="8"/>
    </w:p>
    <w:p w14:paraId="1BFC312B">
      <w:pPr>
        <w:framePr w:w="9639" w:h="6974" w:hRule="exact" w:wrap="around" w:vAnchor="page" w:hAnchor="page" w:x="1419" w:y="6408" w:anchorLock="1"/>
        <w:spacing w:line="760" w:lineRule="exact"/>
        <w:ind w:left="-1418"/>
      </w:pPr>
    </w:p>
    <w:p w14:paraId="1A7FDCD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9"/>
    </w:p>
    <w:p w14:paraId="28C9D94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03845C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026-09-05</w:t>
      </w:r>
      <w:r>
        <w:rPr>
          <w:rFonts w:hint="eastAsia"/>
          <w:sz w:val="21"/>
          <w:szCs w:val="28"/>
        </w:rPr>
        <w:t>）</w:t>
      </w:r>
      <w:r>
        <w:rPr>
          <w:sz w:val="21"/>
          <w:szCs w:val="28"/>
        </w:rPr>
        <w:fldChar w:fldCharType="end"/>
      </w:r>
      <w:bookmarkEnd w:id="11"/>
    </w:p>
    <w:p w14:paraId="13E29526">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7249926C">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7A47603A">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0D36E04B">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AEB0B79">
      <w:pPr>
        <w:pStyle w:val="91"/>
        <w:spacing w:after="468"/>
      </w:pPr>
      <w:bookmarkStart w:id="19" w:name="BookMark1"/>
      <w:bookmarkStart w:id="20" w:name="_Toc231994766"/>
      <w:r>
        <w:rPr>
          <w:rFonts w:hint="eastAsia"/>
          <w:spacing w:val="320"/>
        </w:rPr>
        <w:t>目</w:t>
      </w:r>
      <w:r>
        <w:rPr>
          <w:rFonts w:hint="eastAsia"/>
        </w:rPr>
        <w:t>次</w:t>
      </w:r>
    </w:p>
    <w:p w14:paraId="7B3D22D6">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"_Toc231994830" </w:instrText>
      </w:r>
      <w:r>
        <w:fldChar w:fldCharType="separate"/>
      </w:r>
      <w:r>
        <w:rPr>
          <w:rStyle w:val="32"/>
        </w:rPr>
        <w:t>前言</w:t>
      </w:r>
      <w:r>
        <w:tab/>
      </w:r>
      <w:r>
        <w:fldChar w:fldCharType="begin"/>
      </w:r>
      <w:r>
        <w:instrText xml:space="preserve"> PAGEREF _Toc231994830 \h </w:instrText>
      </w:r>
      <w:r>
        <w:fldChar w:fldCharType="separate"/>
      </w:r>
      <w:r>
        <w:t>II</w:t>
      </w:r>
      <w:r>
        <w:fldChar w:fldCharType="end"/>
      </w:r>
      <w:r>
        <w:fldChar w:fldCharType="end"/>
      </w:r>
    </w:p>
    <w:p w14:paraId="73DA7514">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"_Toc231994831" </w:instrText>
      </w:r>
      <w:r>
        <w:fldChar w:fldCharType="separate"/>
      </w:r>
      <w:r>
        <w:rPr>
          <w:rStyle w:val="32"/>
        </w:rPr>
        <w:t>1  范围</w:t>
      </w:r>
      <w:r>
        <w:tab/>
      </w:r>
      <w:r>
        <w:fldChar w:fldCharType="begin"/>
      </w:r>
      <w:r>
        <w:instrText xml:space="preserve"> PAGEREF _Toc231994831 \h </w:instrText>
      </w:r>
      <w:r>
        <w:fldChar w:fldCharType="separate"/>
      </w:r>
      <w:r>
        <w:t>1</w:t>
      </w:r>
      <w:r>
        <w:fldChar w:fldCharType="end"/>
      </w:r>
      <w:r>
        <w:fldChar w:fldCharType="end"/>
      </w:r>
    </w:p>
    <w:p w14:paraId="1240DF50">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"_Toc231994832" </w:instrText>
      </w:r>
      <w:r>
        <w:fldChar w:fldCharType="separate"/>
      </w:r>
      <w:r>
        <w:rPr>
          <w:rStyle w:val="32"/>
        </w:rPr>
        <w:t>2  规范性引用文件</w:t>
      </w:r>
      <w:r>
        <w:tab/>
      </w:r>
      <w:r>
        <w:fldChar w:fldCharType="begin"/>
      </w:r>
      <w:r>
        <w:instrText xml:space="preserve"> PAGEREF _Toc231994832 \h </w:instrText>
      </w:r>
      <w:r>
        <w:fldChar w:fldCharType="separate"/>
      </w:r>
      <w:r>
        <w:t>1</w:t>
      </w:r>
      <w:r>
        <w:fldChar w:fldCharType="end"/>
      </w:r>
      <w:r>
        <w:fldChar w:fldCharType="end"/>
      </w:r>
    </w:p>
    <w:p w14:paraId="32D03813">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"_Toc231994833" </w:instrText>
      </w:r>
      <w:r>
        <w:fldChar w:fldCharType="separate"/>
      </w:r>
      <w:r>
        <w:rPr>
          <w:rStyle w:val="32"/>
        </w:rPr>
        <w:t>3  术语和定义</w:t>
      </w:r>
      <w:r>
        <w:tab/>
      </w:r>
      <w:r>
        <w:fldChar w:fldCharType="begin"/>
      </w:r>
      <w:r>
        <w:instrText xml:space="preserve"> PAGEREF _Toc231994833 \h </w:instrText>
      </w:r>
      <w:r>
        <w:fldChar w:fldCharType="separate"/>
      </w:r>
      <w:r>
        <w:t>1</w:t>
      </w:r>
      <w:r>
        <w:fldChar w:fldCharType="end"/>
      </w:r>
      <w:r>
        <w:fldChar w:fldCharType="end"/>
      </w:r>
    </w:p>
    <w:p w14:paraId="6272F69B">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"_Toc231994834" </w:instrText>
      </w:r>
      <w:r>
        <w:fldChar w:fldCharType="separate"/>
      </w:r>
      <w:r>
        <w:rPr>
          <w:rStyle w:val="32"/>
        </w:rPr>
        <w:t>4  要求</w:t>
      </w:r>
      <w:r>
        <w:tab/>
      </w:r>
      <w:r>
        <w:fldChar w:fldCharType="begin"/>
      </w:r>
      <w:r>
        <w:instrText xml:space="preserve"> PAGEREF _Toc231994834 \h </w:instrText>
      </w:r>
      <w:r>
        <w:fldChar w:fldCharType="separate"/>
      </w:r>
      <w:r>
        <w:t>3</w:t>
      </w:r>
      <w:r>
        <w:fldChar w:fldCharType="end"/>
      </w:r>
      <w:r>
        <w:fldChar w:fldCharType="end"/>
      </w:r>
    </w:p>
    <w:p w14:paraId="0439B4A0">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"_Toc231994835" </w:instrText>
      </w:r>
      <w:r>
        <w:fldChar w:fldCharType="separate"/>
      </w:r>
      <w:r>
        <w:rPr>
          <w:rStyle w:val="32"/>
        </w:rPr>
        <w:t>5  试验方法</w:t>
      </w:r>
      <w:r>
        <w:tab/>
      </w:r>
      <w:r>
        <w:fldChar w:fldCharType="begin"/>
      </w:r>
      <w:r>
        <w:instrText xml:space="preserve"> PAGEREF _Toc231994835 \h </w:instrText>
      </w:r>
      <w:r>
        <w:fldChar w:fldCharType="separate"/>
      </w:r>
      <w:r>
        <w:t>3</w:t>
      </w:r>
      <w:r>
        <w:fldChar w:fldCharType="end"/>
      </w:r>
      <w:r>
        <w:fldChar w:fldCharType="end"/>
      </w:r>
    </w:p>
    <w:p w14:paraId="77F7F69E">
      <w:pPr>
        <w:pStyle w:val="24"/>
        <w:rPr>
          <w:rFonts w:asciiTheme="minorHAnsi" w:hAnsiTheme="minorHAnsi" w:eastAsiaTheme="minorEastAsia" w:cstheme="minorBidi"/>
          <w:szCs w:val="22"/>
        </w:rPr>
      </w:pPr>
      <w:r>
        <w:fldChar w:fldCharType="begin"/>
      </w:r>
      <w:r>
        <w:instrText xml:space="preserve"> HYPERLINK \l "_Toc231994836" </w:instrText>
      </w:r>
      <w:r>
        <w:fldChar w:fldCharType="separate"/>
      </w:r>
      <w:r>
        <w:rPr>
          <w:rStyle w:val="32"/>
          <w14:scene3d w14:prst="orthographicFront">
            <w14:lightRig w14:rig="threePt" w14:dir="t">
              <w14:rot w14:lat="0" w14:lon="0" w14:rev="0"/>
            </w14:lightRig>
          </w14:scene3d>
        </w:rPr>
        <w:t xml:space="preserve">5.1 </w:t>
      </w:r>
      <w:r>
        <w:rPr>
          <w:rStyle w:val="32"/>
        </w:rPr>
        <w:t xml:space="preserve"> 外观</w:t>
      </w:r>
      <w:r>
        <w:tab/>
      </w:r>
      <w:r>
        <w:fldChar w:fldCharType="begin"/>
      </w:r>
      <w:r>
        <w:instrText xml:space="preserve"> PAGEREF _Toc231994836 \h </w:instrText>
      </w:r>
      <w:r>
        <w:fldChar w:fldCharType="separate"/>
      </w:r>
      <w:r>
        <w:t>3</w:t>
      </w:r>
      <w:r>
        <w:fldChar w:fldCharType="end"/>
      </w:r>
      <w:r>
        <w:fldChar w:fldCharType="end"/>
      </w:r>
    </w:p>
    <w:p w14:paraId="62DB1033">
      <w:pPr>
        <w:pStyle w:val="24"/>
        <w:rPr>
          <w:rFonts w:asciiTheme="minorHAnsi" w:hAnsiTheme="minorHAnsi" w:eastAsiaTheme="minorEastAsia" w:cstheme="minorBidi"/>
          <w:szCs w:val="22"/>
        </w:rPr>
      </w:pPr>
      <w:r>
        <w:fldChar w:fldCharType="begin"/>
      </w:r>
      <w:r>
        <w:instrText xml:space="preserve"> HYPERLINK \l "_Toc231994837" </w:instrText>
      </w:r>
      <w:r>
        <w:fldChar w:fldCharType="separate"/>
      </w:r>
      <w:r>
        <w:rPr>
          <w:rStyle w:val="32"/>
          <w14:scene3d w14:prst="orthographicFront">
            <w14:lightRig w14:rig="threePt" w14:dir="t">
              <w14:rot w14:lat="0" w14:lon="0" w14:rev="0"/>
            </w14:lightRig>
          </w14:scene3d>
        </w:rPr>
        <w:t xml:space="preserve">5.2 </w:t>
      </w:r>
      <w:r>
        <w:rPr>
          <w:rStyle w:val="32"/>
        </w:rPr>
        <w:t xml:space="preserve"> 尿素残留差异率</w:t>
      </w:r>
      <w:r>
        <w:tab/>
      </w:r>
      <w:r>
        <w:fldChar w:fldCharType="begin"/>
      </w:r>
      <w:r>
        <w:instrText xml:space="preserve"> PAGEREF _Toc231994837 \h </w:instrText>
      </w:r>
      <w:r>
        <w:fldChar w:fldCharType="separate"/>
      </w:r>
      <w:r>
        <w:t>3</w:t>
      </w:r>
      <w:r>
        <w:fldChar w:fldCharType="end"/>
      </w:r>
      <w:r>
        <w:fldChar w:fldCharType="end"/>
      </w:r>
    </w:p>
    <w:p w14:paraId="2847C949">
      <w:pPr>
        <w:pStyle w:val="24"/>
        <w:rPr>
          <w:rFonts w:asciiTheme="minorHAnsi" w:hAnsiTheme="minorHAnsi" w:eastAsiaTheme="minorEastAsia" w:cstheme="minorBidi"/>
          <w:szCs w:val="22"/>
        </w:rPr>
      </w:pPr>
      <w:r>
        <w:fldChar w:fldCharType="begin"/>
      </w:r>
      <w:r>
        <w:instrText xml:space="preserve"> HYPERLINK \l "_Toc231994838" </w:instrText>
      </w:r>
      <w:r>
        <w:fldChar w:fldCharType="separate"/>
      </w:r>
      <w:r>
        <w:rPr>
          <w:rStyle w:val="32"/>
          <w14:scene3d w14:prst="orthographicFront">
            <w14:lightRig w14:rig="threePt" w14:dir="t">
              <w14:rot w14:lat="0" w14:lon="0" w14:rev="0"/>
            </w14:lightRig>
          </w14:scene3d>
        </w:rPr>
        <w:t xml:space="preserve">5.3 </w:t>
      </w:r>
      <w:r>
        <w:rPr>
          <w:rStyle w:val="32"/>
        </w:rPr>
        <w:t xml:space="preserve"> 硝化潜势差异率</w:t>
      </w:r>
      <w:r>
        <w:tab/>
      </w:r>
      <w:r>
        <w:fldChar w:fldCharType="begin"/>
      </w:r>
      <w:r>
        <w:instrText xml:space="preserve"> PAGEREF _Toc231994838 \h </w:instrText>
      </w:r>
      <w:r>
        <w:fldChar w:fldCharType="separate"/>
      </w:r>
      <w:r>
        <w:t>5</w:t>
      </w:r>
      <w:r>
        <w:fldChar w:fldCharType="end"/>
      </w:r>
      <w:r>
        <w:fldChar w:fldCharType="end"/>
      </w:r>
    </w:p>
    <w:p w14:paraId="3EDD8FEA">
      <w:pPr>
        <w:pStyle w:val="24"/>
        <w:rPr>
          <w:rFonts w:asciiTheme="minorHAnsi" w:hAnsiTheme="minorHAnsi" w:eastAsiaTheme="minorEastAsia" w:cstheme="minorBidi"/>
          <w:szCs w:val="22"/>
        </w:rPr>
      </w:pPr>
      <w:r>
        <w:fldChar w:fldCharType="begin"/>
      </w:r>
      <w:r>
        <w:instrText xml:space="preserve"> HYPERLINK \l "_Toc231994839" </w:instrText>
      </w:r>
      <w:r>
        <w:fldChar w:fldCharType="separate"/>
      </w:r>
      <w:r>
        <w:rPr>
          <w:rStyle w:val="32"/>
          <w14:scene3d w14:prst="orthographicFront">
            <w14:lightRig w14:rig="threePt" w14:dir="t">
              <w14:rot w14:lat="0" w14:lon="0" w14:rev="0"/>
            </w14:lightRig>
          </w14:scene3d>
        </w:rPr>
        <w:t xml:space="preserve">5.4 </w:t>
      </w:r>
      <w:r>
        <w:rPr>
          <w:rStyle w:val="32"/>
          <w:rFonts w:ascii="Times New Roman"/>
        </w:rPr>
        <w:t xml:space="preserve"> 正丁基硫代磷酰三胺（NBPT）</w:t>
      </w:r>
      <w:r>
        <w:rPr>
          <w:rStyle w:val="32"/>
        </w:rPr>
        <w:t>含量的测定</w:t>
      </w:r>
      <w:r>
        <w:tab/>
      </w:r>
      <w:r>
        <w:fldChar w:fldCharType="begin"/>
      </w:r>
      <w:r>
        <w:instrText xml:space="preserve"> PAGEREF _Toc231994839 \h </w:instrText>
      </w:r>
      <w:r>
        <w:fldChar w:fldCharType="separate"/>
      </w:r>
      <w:r>
        <w:t>8</w:t>
      </w:r>
      <w:r>
        <w:fldChar w:fldCharType="end"/>
      </w:r>
      <w:r>
        <w:fldChar w:fldCharType="end"/>
      </w:r>
    </w:p>
    <w:p w14:paraId="792B063D">
      <w:pPr>
        <w:pStyle w:val="24"/>
        <w:rPr>
          <w:rFonts w:asciiTheme="minorHAnsi" w:hAnsiTheme="minorHAnsi" w:eastAsiaTheme="minorEastAsia" w:cstheme="minorBidi"/>
          <w:szCs w:val="22"/>
        </w:rPr>
      </w:pPr>
      <w:r>
        <w:fldChar w:fldCharType="begin"/>
      </w:r>
      <w:r>
        <w:instrText xml:space="preserve"> HYPERLINK \l "_Toc231994840" </w:instrText>
      </w:r>
      <w:r>
        <w:fldChar w:fldCharType="separate"/>
      </w:r>
      <w:r>
        <w:rPr>
          <w:rStyle w:val="32"/>
          <w14:scene3d w14:prst="orthographicFront">
            <w14:lightRig w14:rig="threePt" w14:dir="t">
              <w14:rot w14:lat="0" w14:lon="0" w14:rev="0"/>
            </w14:lightRig>
          </w14:scene3d>
        </w:rPr>
        <w:t xml:space="preserve">5.5 </w:t>
      </w:r>
      <w:r>
        <w:rPr>
          <w:rStyle w:val="32"/>
        </w:rPr>
        <w:t xml:space="preserve"> 双氰胺（DCD）含量的测定</w:t>
      </w:r>
      <w:r>
        <w:tab/>
      </w:r>
      <w:r>
        <w:fldChar w:fldCharType="begin"/>
      </w:r>
      <w:r>
        <w:instrText xml:space="preserve"> PAGEREF _Toc231994840 \h </w:instrText>
      </w:r>
      <w:r>
        <w:fldChar w:fldCharType="separate"/>
      </w:r>
      <w:r>
        <w:t>8</w:t>
      </w:r>
      <w:r>
        <w:fldChar w:fldCharType="end"/>
      </w:r>
      <w:r>
        <w:fldChar w:fldCharType="end"/>
      </w:r>
    </w:p>
    <w:p w14:paraId="6611337F">
      <w:pPr>
        <w:pStyle w:val="24"/>
        <w:rPr>
          <w:rFonts w:asciiTheme="minorHAnsi" w:hAnsiTheme="minorHAnsi" w:eastAsiaTheme="minorEastAsia" w:cstheme="minorBidi"/>
          <w:szCs w:val="22"/>
        </w:rPr>
      </w:pPr>
      <w:r>
        <w:fldChar w:fldCharType="begin"/>
      </w:r>
      <w:r>
        <w:instrText xml:space="preserve"> HYPERLINK \l "_Toc231994841" </w:instrText>
      </w:r>
      <w:r>
        <w:fldChar w:fldCharType="separate"/>
      </w:r>
      <w:r>
        <w:rPr>
          <w:rStyle w:val="32"/>
          <w14:scene3d w14:prst="orthographicFront">
            <w14:lightRig w14:rig="threePt" w14:dir="t">
              <w14:rot w14:lat="0" w14:lon="0" w14:rev="0"/>
            </w14:lightRig>
          </w14:scene3d>
        </w:rPr>
        <w:t xml:space="preserve">5.6 </w:t>
      </w:r>
      <w:r>
        <w:rPr>
          <w:rStyle w:val="32"/>
          <w:rFonts w:ascii="Times New Roman"/>
        </w:rPr>
        <w:t xml:space="preserve"> 3,4-二甲基吡唑磷酸盐</w:t>
      </w:r>
      <w:r>
        <w:rPr>
          <w:rStyle w:val="32"/>
        </w:rPr>
        <w:t>（DMPP）含量的测定</w:t>
      </w:r>
      <w:r>
        <w:tab/>
      </w:r>
      <w:r>
        <w:fldChar w:fldCharType="begin"/>
      </w:r>
      <w:r>
        <w:instrText xml:space="preserve"> PAGEREF _Toc231994841 \h </w:instrText>
      </w:r>
      <w:r>
        <w:fldChar w:fldCharType="separate"/>
      </w:r>
      <w:r>
        <w:t>8</w:t>
      </w:r>
      <w:r>
        <w:fldChar w:fldCharType="end"/>
      </w:r>
      <w:r>
        <w:fldChar w:fldCharType="end"/>
      </w:r>
    </w:p>
    <w:p w14:paraId="55C9E696">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"_Toc231994842" </w:instrText>
      </w:r>
      <w:r>
        <w:fldChar w:fldCharType="separate"/>
      </w:r>
      <w:r>
        <w:rPr>
          <w:rStyle w:val="32"/>
        </w:rPr>
        <w:t>6  检验规则</w:t>
      </w:r>
      <w:r>
        <w:tab/>
      </w:r>
      <w:r>
        <w:fldChar w:fldCharType="begin"/>
      </w:r>
      <w:r>
        <w:instrText xml:space="preserve"> PAGEREF _Toc231994842 \h </w:instrText>
      </w:r>
      <w:r>
        <w:fldChar w:fldCharType="separate"/>
      </w:r>
      <w:r>
        <w:t>8</w:t>
      </w:r>
      <w:r>
        <w:fldChar w:fldCharType="end"/>
      </w:r>
      <w:r>
        <w:fldChar w:fldCharType="end"/>
      </w:r>
    </w:p>
    <w:p w14:paraId="5C5BA4C6">
      <w:pPr>
        <w:pStyle w:val="24"/>
        <w:rPr>
          <w:rFonts w:asciiTheme="minorHAnsi" w:hAnsiTheme="minorHAnsi" w:eastAsiaTheme="minorEastAsia" w:cstheme="minorBidi"/>
          <w:szCs w:val="22"/>
        </w:rPr>
      </w:pPr>
      <w:r>
        <w:fldChar w:fldCharType="begin"/>
      </w:r>
      <w:r>
        <w:instrText xml:space="preserve"> HYPERLINK \l "_Toc231994843" </w:instrText>
      </w:r>
      <w:r>
        <w:fldChar w:fldCharType="separate"/>
      </w:r>
      <w:r>
        <w:rPr>
          <w:rStyle w:val="32"/>
          <w14:scene3d w14:prst="orthographicFront">
            <w14:lightRig w14:rig="threePt" w14:dir="t">
              <w14:rot w14:lat="0" w14:lon="0" w14:rev="0"/>
            </w14:lightRig>
          </w14:scene3d>
        </w:rPr>
        <w:t xml:space="preserve">6.1 </w:t>
      </w:r>
      <w:r>
        <w:rPr>
          <w:rStyle w:val="32"/>
        </w:rPr>
        <w:t xml:space="preserve"> 检验类别及检验项目</w:t>
      </w:r>
      <w:r>
        <w:tab/>
      </w:r>
      <w:r>
        <w:fldChar w:fldCharType="begin"/>
      </w:r>
      <w:r>
        <w:instrText xml:space="preserve"> PAGEREF _Toc231994843 \h </w:instrText>
      </w:r>
      <w:r>
        <w:fldChar w:fldCharType="separate"/>
      </w:r>
      <w:r>
        <w:t>8</w:t>
      </w:r>
      <w:r>
        <w:fldChar w:fldCharType="end"/>
      </w:r>
      <w:r>
        <w:fldChar w:fldCharType="end"/>
      </w:r>
    </w:p>
    <w:p w14:paraId="67C42073">
      <w:pPr>
        <w:pStyle w:val="24"/>
        <w:rPr>
          <w:rFonts w:asciiTheme="minorHAnsi" w:hAnsiTheme="minorHAnsi" w:eastAsiaTheme="minorEastAsia" w:cstheme="minorBidi"/>
          <w:szCs w:val="22"/>
        </w:rPr>
      </w:pPr>
      <w:r>
        <w:fldChar w:fldCharType="begin"/>
      </w:r>
      <w:r>
        <w:instrText xml:space="preserve"> HYPERLINK \l "_Toc231994844" </w:instrText>
      </w:r>
      <w:r>
        <w:fldChar w:fldCharType="separate"/>
      </w:r>
      <w:r>
        <w:rPr>
          <w:rStyle w:val="32"/>
          <w14:scene3d w14:prst="orthographicFront">
            <w14:lightRig w14:rig="threePt" w14:dir="t">
              <w14:rot w14:lat="0" w14:lon="0" w14:rev="0"/>
            </w14:lightRig>
          </w14:scene3d>
        </w:rPr>
        <w:t xml:space="preserve">6.2 </w:t>
      </w:r>
      <w:r>
        <w:rPr>
          <w:rStyle w:val="32"/>
        </w:rPr>
        <w:t xml:space="preserve"> 组批</w:t>
      </w:r>
      <w:r>
        <w:tab/>
      </w:r>
      <w:r>
        <w:fldChar w:fldCharType="begin"/>
      </w:r>
      <w:r>
        <w:instrText xml:space="preserve"> PAGEREF _Toc231994844 \h </w:instrText>
      </w:r>
      <w:r>
        <w:fldChar w:fldCharType="separate"/>
      </w:r>
      <w:r>
        <w:t>9</w:t>
      </w:r>
      <w:r>
        <w:fldChar w:fldCharType="end"/>
      </w:r>
      <w:r>
        <w:fldChar w:fldCharType="end"/>
      </w:r>
    </w:p>
    <w:p w14:paraId="2D9DC41C">
      <w:pPr>
        <w:pStyle w:val="24"/>
        <w:rPr>
          <w:rFonts w:asciiTheme="minorHAnsi" w:hAnsiTheme="minorHAnsi" w:eastAsiaTheme="minorEastAsia" w:cstheme="minorBidi"/>
          <w:szCs w:val="22"/>
        </w:rPr>
      </w:pPr>
      <w:r>
        <w:fldChar w:fldCharType="begin"/>
      </w:r>
      <w:r>
        <w:instrText xml:space="preserve"> HYPERLINK \l "_Toc231994845" </w:instrText>
      </w:r>
      <w:r>
        <w:fldChar w:fldCharType="separate"/>
      </w:r>
      <w:r>
        <w:rPr>
          <w:rStyle w:val="32"/>
          <w14:scene3d w14:prst="orthographicFront">
            <w14:lightRig w14:rig="threePt" w14:dir="t">
              <w14:rot w14:lat="0" w14:lon="0" w14:rev="0"/>
            </w14:lightRig>
          </w14:scene3d>
        </w:rPr>
        <w:t xml:space="preserve">6.3 </w:t>
      </w:r>
      <w:r>
        <w:rPr>
          <w:rStyle w:val="32"/>
        </w:rPr>
        <w:t xml:space="preserve"> 采样方案的确定</w:t>
      </w:r>
      <w:r>
        <w:tab/>
      </w:r>
      <w:r>
        <w:fldChar w:fldCharType="begin"/>
      </w:r>
      <w:r>
        <w:instrText xml:space="preserve"> PAGEREF _Toc231994845 \h </w:instrText>
      </w:r>
      <w:r>
        <w:fldChar w:fldCharType="separate"/>
      </w:r>
      <w:r>
        <w:t>9</w:t>
      </w:r>
      <w:r>
        <w:fldChar w:fldCharType="end"/>
      </w:r>
      <w:r>
        <w:fldChar w:fldCharType="end"/>
      </w:r>
    </w:p>
    <w:p w14:paraId="4BEB07E6">
      <w:pPr>
        <w:pStyle w:val="24"/>
        <w:rPr>
          <w:rFonts w:asciiTheme="minorHAnsi" w:hAnsiTheme="minorHAnsi" w:eastAsiaTheme="minorEastAsia" w:cstheme="minorBidi"/>
          <w:szCs w:val="22"/>
        </w:rPr>
      </w:pPr>
      <w:r>
        <w:fldChar w:fldCharType="begin"/>
      </w:r>
      <w:r>
        <w:instrText xml:space="preserve"> HYPERLINK \l "_Toc231994846" </w:instrText>
      </w:r>
      <w:r>
        <w:fldChar w:fldCharType="separate"/>
      </w:r>
      <w:r>
        <w:rPr>
          <w:rStyle w:val="32"/>
          <w14:scene3d w14:prst="orthographicFront">
            <w14:lightRig w14:rig="threePt" w14:dir="t">
              <w14:rot w14:lat="0" w14:lon="0" w14:rev="0"/>
            </w14:lightRig>
          </w14:scene3d>
        </w:rPr>
        <w:t xml:space="preserve">6.4 </w:t>
      </w:r>
      <w:r>
        <w:rPr>
          <w:rStyle w:val="32"/>
        </w:rPr>
        <w:t xml:space="preserve"> 样品的缩分</w:t>
      </w:r>
      <w:r>
        <w:tab/>
      </w:r>
      <w:r>
        <w:fldChar w:fldCharType="begin"/>
      </w:r>
      <w:r>
        <w:instrText xml:space="preserve"> PAGEREF _Toc231994846 \h </w:instrText>
      </w:r>
      <w:r>
        <w:fldChar w:fldCharType="separate"/>
      </w:r>
      <w:r>
        <w:t>9</w:t>
      </w:r>
      <w:r>
        <w:fldChar w:fldCharType="end"/>
      </w:r>
      <w:r>
        <w:fldChar w:fldCharType="end"/>
      </w:r>
    </w:p>
    <w:p w14:paraId="79CEADF3">
      <w:pPr>
        <w:pStyle w:val="24"/>
        <w:rPr>
          <w:rFonts w:asciiTheme="minorHAnsi" w:hAnsiTheme="minorHAnsi" w:eastAsiaTheme="minorEastAsia" w:cstheme="minorBidi"/>
          <w:szCs w:val="22"/>
        </w:rPr>
      </w:pPr>
      <w:r>
        <w:fldChar w:fldCharType="begin"/>
      </w:r>
      <w:r>
        <w:instrText xml:space="preserve"> HYPERLINK \l "_Toc231994847" </w:instrText>
      </w:r>
      <w:r>
        <w:fldChar w:fldCharType="separate"/>
      </w:r>
      <w:r>
        <w:rPr>
          <w:rStyle w:val="32"/>
          <w14:scene3d w14:prst="orthographicFront">
            <w14:lightRig w14:rig="threePt" w14:dir="t">
              <w14:rot w14:lat="0" w14:lon="0" w14:rev="0"/>
            </w14:lightRig>
          </w14:scene3d>
        </w:rPr>
        <w:t xml:space="preserve">6.5 </w:t>
      </w:r>
      <w:r>
        <w:rPr>
          <w:rStyle w:val="32"/>
        </w:rPr>
        <w:t xml:space="preserve"> 结果判定</w:t>
      </w:r>
      <w:r>
        <w:tab/>
      </w:r>
      <w:r>
        <w:fldChar w:fldCharType="begin"/>
      </w:r>
      <w:r>
        <w:instrText xml:space="preserve"> PAGEREF _Toc231994847 \h </w:instrText>
      </w:r>
      <w:r>
        <w:fldChar w:fldCharType="separate"/>
      </w:r>
      <w:r>
        <w:t>10</w:t>
      </w:r>
      <w:r>
        <w:fldChar w:fldCharType="end"/>
      </w:r>
      <w:r>
        <w:fldChar w:fldCharType="end"/>
      </w:r>
    </w:p>
    <w:p w14:paraId="317A6291">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"_Toc231994848" </w:instrText>
      </w:r>
      <w:r>
        <w:fldChar w:fldCharType="separate"/>
      </w:r>
      <w:r>
        <w:rPr>
          <w:rStyle w:val="32"/>
        </w:rPr>
        <w:t>7  标识</w:t>
      </w:r>
      <w:r>
        <w:tab/>
      </w:r>
      <w:r>
        <w:fldChar w:fldCharType="begin"/>
      </w:r>
      <w:r>
        <w:instrText xml:space="preserve"> PAGEREF _Toc231994848 \h </w:instrText>
      </w:r>
      <w:r>
        <w:fldChar w:fldCharType="separate"/>
      </w:r>
      <w:r>
        <w:t>10</w:t>
      </w:r>
      <w:r>
        <w:fldChar w:fldCharType="end"/>
      </w:r>
      <w:r>
        <w:fldChar w:fldCharType="end"/>
      </w:r>
    </w:p>
    <w:p w14:paraId="60268840">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"_Toc231994849" </w:instrText>
      </w:r>
      <w:r>
        <w:fldChar w:fldCharType="separate"/>
      </w:r>
      <w:r>
        <w:rPr>
          <w:rStyle w:val="32"/>
        </w:rPr>
        <w:t>8  包装、运输和贮存</w:t>
      </w:r>
      <w:r>
        <w:tab/>
      </w:r>
      <w:r>
        <w:fldChar w:fldCharType="begin"/>
      </w:r>
      <w:r>
        <w:instrText xml:space="preserve"> PAGEREF _Toc231994849 \h </w:instrText>
      </w:r>
      <w:r>
        <w:fldChar w:fldCharType="separate"/>
      </w:r>
      <w:r>
        <w:t>10</w:t>
      </w:r>
      <w:r>
        <w:fldChar w:fldCharType="end"/>
      </w:r>
      <w:r>
        <w:fldChar w:fldCharType="end"/>
      </w:r>
    </w:p>
    <w:p w14:paraId="012A9A39">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"_Toc231994850" </w:instrText>
      </w:r>
      <w:r>
        <w:fldChar w:fldCharType="separate"/>
      </w:r>
      <w:r>
        <w:rPr>
          <w:rStyle w:val="32"/>
        </w:rPr>
        <w:t>附录A（规范性）  对照样品称取方法示例</w:t>
      </w:r>
      <w:r>
        <w:tab/>
      </w:r>
      <w:r>
        <w:fldChar w:fldCharType="begin"/>
      </w:r>
      <w:r>
        <w:instrText xml:space="preserve"> PAGEREF _Toc231994850 \h </w:instrText>
      </w:r>
      <w:r>
        <w:fldChar w:fldCharType="separate"/>
      </w:r>
      <w:r>
        <w:t>11</w:t>
      </w:r>
      <w:r>
        <w:fldChar w:fldCharType="end"/>
      </w:r>
      <w:r>
        <w:fldChar w:fldCharType="end"/>
      </w:r>
    </w:p>
    <w:p w14:paraId="37D4B9C9">
      <w:pPr>
        <w:pStyle w:val="24"/>
        <w:rPr>
          <w:rFonts w:asciiTheme="minorHAnsi" w:hAnsiTheme="minorHAnsi" w:eastAsiaTheme="minorEastAsia" w:cstheme="minorBidi"/>
          <w:szCs w:val="22"/>
        </w:rPr>
      </w:pPr>
      <w:r>
        <w:fldChar w:fldCharType="begin"/>
      </w:r>
      <w:r>
        <w:instrText xml:space="preserve"> HYPERLINK \l "_Toc231994851" </w:instrText>
      </w:r>
      <w:r>
        <w:fldChar w:fldCharType="separate"/>
      </w:r>
      <w:r>
        <w:rPr>
          <w:rStyle w:val="32"/>
        </w:rPr>
        <w:t>A.1  尿素残留差异率指标测定时对照样品称取方法示例1</w:t>
      </w:r>
      <w:r>
        <w:tab/>
      </w:r>
      <w:r>
        <w:fldChar w:fldCharType="begin"/>
      </w:r>
      <w:r>
        <w:instrText xml:space="preserve"> PAGEREF _Toc231994851 \h </w:instrText>
      </w:r>
      <w:r>
        <w:fldChar w:fldCharType="separate"/>
      </w:r>
      <w:r>
        <w:t>11</w:t>
      </w:r>
      <w:r>
        <w:fldChar w:fldCharType="end"/>
      </w:r>
      <w:r>
        <w:fldChar w:fldCharType="end"/>
      </w:r>
    </w:p>
    <w:p w14:paraId="1592A6CF">
      <w:pPr>
        <w:pStyle w:val="24"/>
        <w:rPr>
          <w:rFonts w:asciiTheme="minorHAnsi" w:hAnsiTheme="minorHAnsi" w:eastAsiaTheme="minorEastAsia" w:cstheme="minorBidi"/>
          <w:szCs w:val="22"/>
        </w:rPr>
      </w:pPr>
      <w:r>
        <w:fldChar w:fldCharType="begin"/>
      </w:r>
      <w:r>
        <w:instrText xml:space="preserve"> HYPERLINK \l "_Toc231994852" </w:instrText>
      </w:r>
      <w:r>
        <w:fldChar w:fldCharType="separate"/>
      </w:r>
      <w:r>
        <w:rPr>
          <w:rStyle w:val="32"/>
        </w:rPr>
        <w:t>A.2  尿素残留差异率指标测定时对照样品称取方法示例2</w:t>
      </w:r>
      <w:r>
        <w:tab/>
      </w:r>
      <w:r>
        <w:fldChar w:fldCharType="begin"/>
      </w:r>
      <w:r>
        <w:instrText xml:space="preserve"> PAGEREF _Toc231994852 \h </w:instrText>
      </w:r>
      <w:r>
        <w:fldChar w:fldCharType="separate"/>
      </w:r>
      <w:r>
        <w:t>11</w:t>
      </w:r>
      <w:r>
        <w:fldChar w:fldCharType="end"/>
      </w:r>
      <w:r>
        <w:fldChar w:fldCharType="end"/>
      </w:r>
    </w:p>
    <w:p w14:paraId="21B43F7D">
      <w:pPr>
        <w:pStyle w:val="24"/>
        <w:rPr>
          <w:rFonts w:asciiTheme="minorHAnsi" w:hAnsiTheme="minorHAnsi" w:eastAsiaTheme="minorEastAsia" w:cstheme="minorBidi"/>
          <w:szCs w:val="22"/>
        </w:rPr>
      </w:pPr>
      <w:r>
        <w:fldChar w:fldCharType="begin"/>
      </w:r>
      <w:r>
        <w:instrText xml:space="preserve"> HYPERLINK \l "_Toc231994853" </w:instrText>
      </w:r>
      <w:r>
        <w:fldChar w:fldCharType="separate"/>
      </w:r>
      <w:r>
        <w:rPr>
          <w:rStyle w:val="32"/>
        </w:rPr>
        <w:t>A.3  硝化潜势差异率指标测定时对照样品称取方法示例1</w:t>
      </w:r>
      <w:r>
        <w:tab/>
      </w:r>
      <w:r>
        <w:fldChar w:fldCharType="begin"/>
      </w:r>
      <w:r>
        <w:instrText xml:space="preserve"> PAGEREF _Toc231994853 \h </w:instrText>
      </w:r>
      <w:r>
        <w:fldChar w:fldCharType="separate"/>
      </w:r>
      <w:r>
        <w:t>11</w:t>
      </w:r>
      <w:r>
        <w:fldChar w:fldCharType="end"/>
      </w:r>
      <w:r>
        <w:fldChar w:fldCharType="end"/>
      </w:r>
    </w:p>
    <w:p w14:paraId="6E2CA51E">
      <w:pPr>
        <w:pStyle w:val="24"/>
        <w:rPr>
          <w:rFonts w:asciiTheme="minorHAnsi" w:hAnsiTheme="minorHAnsi" w:eastAsiaTheme="minorEastAsia" w:cstheme="minorBidi"/>
          <w:szCs w:val="22"/>
        </w:rPr>
      </w:pPr>
      <w:r>
        <w:fldChar w:fldCharType="begin"/>
      </w:r>
      <w:r>
        <w:instrText xml:space="preserve"> HYPERLINK \l "_Toc231994854" </w:instrText>
      </w:r>
      <w:r>
        <w:fldChar w:fldCharType="separate"/>
      </w:r>
      <w:r>
        <w:rPr>
          <w:rStyle w:val="32"/>
        </w:rPr>
        <w:t>A.4  硝化潜势差异率指标测定时对照样品称取方法示例2</w:t>
      </w:r>
      <w:r>
        <w:tab/>
      </w:r>
      <w:r>
        <w:fldChar w:fldCharType="begin"/>
      </w:r>
      <w:r>
        <w:instrText xml:space="preserve"> PAGEREF _Toc231994854 \h </w:instrText>
      </w:r>
      <w:r>
        <w:fldChar w:fldCharType="separate"/>
      </w:r>
      <w:r>
        <w:t>11</w:t>
      </w:r>
      <w:r>
        <w:fldChar w:fldCharType="end"/>
      </w:r>
      <w:r>
        <w:fldChar w:fldCharType="end"/>
      </w:r>
    </w:p>
    <w:p w14:paraId="5CAA727F">
      <w:pPr>
        <w:pStyle w:val="19"/>
        <w:tabs>
          <w:tab w:val="right" w:leader="dot" w:pos="9344"/>
        </w:tabs>
        <w:rPr>
          <w:rFonts w:asciiTheme="minorHAnsi" w:hAnsiTheme="minorHAnsi" w:eastAsiaTheme="minorEastAsia" w:cstheme="minorBidi"/>
          <w:szCs w:val="22"/>
        </w:rPr>
      </w:pPr>
      <w:r>
        <w:fldChar w:fldCharType="begin"/>
      </w:r>
      <w:r>
        <w:instrText xml:space="preserve"> HYPERLINK \l "_Toc231994858" </w:instrText>
      </w:r>
      <w:r>
        <w:fldChar w:fldCharType="separate"/>
      </w:r>
      <w:r>
        <w:rPr>
          <w:rStyle w:val="32"/>
        </w:rPr>
        <w:t>附录</w:t>
      </w:r>
      <w:r>
        <w:rPr>
          <w:rStyle w:val="32"/>
          <w:rFonts w:hint="eastAsia"/>
        </w:rPr>
        <w:t>B</w:t>
      </w:r>
      <w:r>
        <w:rPr>
          <w:rStyle w:val="32"/>
        </w:rPr>
        <w:t>（规范性）  肥料中尿素含量的测定方法（高效液相色谱法）</w:t>
      </w:r>
      <w:r>
        <w:tab/>
      </w:r>
      <w:r>
        <w:fldChar w:fldCharType="begin"/>
      </w:r>
      <w:r>
        <w:instrText xml:space="preserve"> PAGEREF _Toc231994858 \h </w:instrText>
      </w:r>
      <w:r>
        <w:fldChar w:fldCharType="separate"/>
      </w:r>
      <w:r>
        <w:t>14</w:t>
      </w:r>
      <w:r>
        <w:fldChar w:fldCharType="end"/>
      </w:r>
      <w:r>
        <w:fldChar w:fldCharType="end"/>
      </w:r>
    </w:p>
    <w:p w14:paraId="5A486DA1">
      <w:pPr>
        <w:pStyle w:val="24"/>
        <w:rPr>
          <w:rFonts w:asciiTheme="minorHAnsi" w:hAnsiTheme="minorHAnsi" w:eastAsiaTheme="minorEastAsia" w:cstheme="minorBidi"/>
          <w:szCs w:val="22"/>
        </w:rPr>
      </w:pPr>
      <w:r>
        <w:fldChar w:fldCharType="begin"/>
      </w:r>
      <w:r>
        <w:instrText xml:space="preserve"> HYPERLINK \l "_Toc231994859" </w:instrText>
      </w:r>
      <w:r>
        <w:fldChar w:fldCharType="separate"/>
      </w:r>
      <w:r>
        <w:rPr>
          <w:rStyle w:val="32"/>
          <w:rFonts w:hint="eastAsia"/>
        </w:rPr>
        <w:t>B</w:t>
      </w:r>
      <w:r>
        <w:rPr>
          <w:rStyle w:val="32"/>
        </w:rPr>
        <w:t>.1  方法提要</w:t>
      </w:r>
      <w:r>
        <w:tab/>
      </w:r>
      <w:r>
        <w:fldChar w:fldCharType="begin"/>
      </w:r>
      <w:r>
        <w:instrText xml:space="preserve"> PAGEREF _Toc231994859 \h </w:instrText>
      </w:r>
      <w:r>
        <w:fldChar w:fldCharType="separate"/>
      </w:r>
      <w:r>
        <w:t>14</w:t>
      </w:r>
      <w:r>
        <w:fldChar w:fldCharType="end"/>
      </w:r>
      <w:r>
        <w:fldChar w:fldCharType="end"/>
      </w:r>
    </w:p>
    <w:p w14:paraId="3AFC0585">
      <w:pPr>
        <w:pStyle w:val="24"/>
        <w:rPr>
          <w:rFonts w:asciiTheme="minorHAnsi" w:hAnsiTheme="minorHAnsi" w:eastAsiaTheme="minorEastAsia" w:cstheme="minorBidi"/>
          <w:szCs w:val="22"/>
        </w:rPr>
      </w:pPr>
      <w:r>
        <w:fldChar w:fldCharType="begin"/>
      </w:r>
      <w:r>
        <w:instrText xml:space="preserve"> HYPERLINK \l "_Toc231994860" </w:instrText>
      </w:r>
      <w:r>
        <w:fldChar w:fldCharType="separate"/>
      </w:r>
      <w:r>
        <w:rPr>
          <w:rStyle w:val="32"/>
          <w:rFonts w:hint="eastAsia"/>
        </w:rPr>
        <w:t>B</w:t>
      </w:r>
      <w:r>
        <w:rPr>
          <w:rStyle w:val="32"/>
        </w:rPr>
        <w:t>.2  试剂或材料</w:t>
      </w:r>
      <w:r>
        <w:tab/>
      </w:r>
      <w:r>
        <w:fldChar w:fldCharType="begin"/>
      </w:r>
      <w:r>
        <w:instrText xml:space="preserve"> PAGEREF _Toc231994860 \h </w:instrText>
      </w:r>
      <w:r>
        <w:fldChar w:fldCharType="separate"/>
      </w:r>
      <w:r>
        <w:t>14</w:t>
      </w:r>
      <w:r>
        <w:fldChar w:fldCharType="end"/>
      </w:r>
      <w:r>
        <w:fldChar w:fldCharType="end"/>
      </w:r>
    </w:p>
    <w:p w14:paraId="72567252">
      <w:pPr>
        <w:pStyle w:val="24"/>
        <w:rPr>
          <w:rFonts w:asciiTheme="minorHAnsi" w:hAnsiTheme="minorHAnsi" w:eastAsiaTheme="minorEastAsia" w:cstheme="minorBidi"/>
          <w:szCs w:val="22"/>
        </w:rPr>
      </w:pPr>
      <w:r>
        <w:fldChar w:fldCharType="begin"/>
      </w:r>
      <w:r>
        <w:instrText xml:space="preserve"> HYPERLINK \l "_Toc231994861" </w:instrText>
      </w:r>
      <w:r>
        <w:fldChar w:fldCharType="separate"/>
      </w:r>
      <w:r>
        <w:rPr>
          <w:rStyle w:val="32"/>
          <w:rFonts w:hint="eastAsia"/>
        </w:rPr>
        <w:t>B</w:t>
      </w:r>
      <w:r>
        <w:rPr>
          <w:rStyle w:val="32"/>
        </w:rPr>
        <w:t>.3  仪器设备</w:t>
      </w:r>
      <w:r>
        <w:tab/>
      </w:r>
      <w:r>
        <w:fldChar w:fldCharType="begin"/>
      </w:r>
      <w:r>
        <w:instrText xml:space="preserve"> PAGEREF _Toc231994861 \h </w:instrText>
      </w:r>
      <w:r>
        <w:fldChar w:fldCharType="separate"/>
      </w:r>
      <w:r>
        <w:t>14</w:t>
      </w:r>
      <w:r>
        <w:fldChar w:fldCharType="end"/>
      </w:r>
      <w:r>
        <w:fldChar w:fldCharType="end"/>
      </w:r>
    </w:p>
    <w:p w14:paraId="4F839819">
      <w:pPr>
        <w:pStyle w:val="24"/>
        <w:rPr>
          <w:rFonts w:asciiTheme="minorHAnsi" w:hAnsiTheme="minorHAnsi" w:eastAsiaTheme="minorEastAsia" w:cstheme="minorBidi"/>
          <w:szCs w:val="22"/>
        </w:rPr>
      </w:pPr>
      <w:r>
        <w:fldChar w:fldCharType="begin"/>
      </w:r>
      <w:r>
        <w:instrText xml:space="preserve"> HYPERLINK \l "_Toc231994862" </w:instrText>
      </w:r>
      <w:r>
        <w:fldChar w:fldCharType="separate"/>
      </w:r>
      <w:r>
        <w:rPr>
          <w:rStyle w:val="32"/>
          <w:rFonts w:hint="eastAsia"/>
        </w:rPr>
        <w:t>B</w:t>
      </w:r>
      <w:r>
        <w:rPr>
          <w:rStyle w:val="32"/>
        </w:rPr>
        <w:t>.4  测定步骤</w:t>
      </w:r>
      <w:r>
        <w:tab/>
      </w:r>
      <w:r>
        <w:fldChar w:fldCharType="begin"/>
      </w:r>
      <w:r>
        <w:instrText xml:space="preserve"> PAGEREF _Toc231994862 \h </w:instrText>
      </w:r>
      <w:r>
        <w:fldChar w:fldCharType="separate"/>
      </w:r>
      <w:r>
        <w:t>14</w:t>
      </w:r>
      <w:r>
        <w:fldChar w:fldCharType="end"/>
      </w:r>
      <w:r>
        <w:fldChar w:fldCharType="end"/>
      </w:r>
    </w:p>
    <w:p w14:paraId="0DFEBC68">
      <w:pPr>
        <w:pStyle w:val="24"/>
        <w:rPr>
          <w:rFonts w:asciiTheme="minorHAnsi" w:hAnsiTheme="minorHAnsi" w:eastAsiaTheme="minorEastAsia" w:cstheme="minorBidi"/>
          <w:szCs w:val="22"/>
        </w:rPr>
      </w:pPr>
      <w:r>
        <w:fldChar w:fldCharType="begin"/>
      </w:r>
      <w:r>
        <w:instrText xml:space="preserve"> HYPERLINK \l "_Toc231994863" </w:instrText>
      </w:r>
      <w:r>
        <w:fldChar w:fldCharType="separate"/>
      </w:r>
      <w:r>
        <w:rPr>
          <w:rStyle w:val="32"/>
          <w:rFonts w:hint="eastAsia"/>
        </w:rPr>
        <w:t>B</w:t>
      </w:r>
      <w:r>
        <w:rPr>
          <w:rStyle w:val="32"/>
        </w:rPr>
        <w:t>.5  试验数据处理</w:t>
      </w:r>
      <w:r>
        <w:tab/>
      </w:r>
      <w:r>
        <w:fldChar w:fldCharType="begin"/>
      </w:r>
      <w:r>
        <w:instrText xml:space="preserve"> PAGEREF _Toc231994863 \h </w:instrText>
      </w:r>
      <w:r>
        <w:fldChar w:fldCharType="separate"/>
      </w:r>
      <w:r>
        <w:t>15</w:t>
      </w:r>
      <w:r>
        <w:fldChar w:fldCharType="end"/>
      </w:r>
      <w:r>
        <w:fldChar w:fldCharType="end"/>
      </w:r>
    </w:p>
    <w:p w14:paraId="2F9665F4">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14:paraId="541FC4B5">
      <w:pPr>
        <w:pStyle w:val="89"/>
        <w:spacing w:after="468"/>
      </w:pPr>
      <w:bookmarkStart w:id="21" w:name="_Toc231994830"/>
      <w:bookmarkStart w:id="22" w:name="BookMark2"/>
      <w:r>
        <w:rPr>
          <w:spacing w:val="320"/>
        </w:rPr>
        <w:t>前</w:t>
      </w:r>
      <w:r>
        <w:t>言</w:t>
      </w:r>
      <w:bookmarkEnd w:id="20"/>
      <w:bookmarkEnd w:id="21"/>
    </w:p>
    <w:p w14:paraId="3CF53C72">
      <w:pPr>
        <w:pStyle w:val="56"/>
        <w:ind w:firstLine="420"/>
      </w:pPr>
      <w:r>
        <w:rPr>
          <w:rFonts w:hint="eastAsia"/>
        </w:rPr>
        <w:t>本文件按照GB/T 1.1—2020《标准化工作导则  第1部分：标准化文件的结构和起草规则》的规定起草。</w:t>
      </w:r>
    </w:p>
    <w:p w14:paraId="77475CEE">
      <w:pPr>
        <w:pStyle w:val="56"/>
        <w:ind w:firstLine="420"/>
      </w:pPr>
      <w:r>
        <w:rPr>
          <w:rFonts w:hint="eastAsia"/>
        </w:rPr>
        <w:t>本文件代替GB/T 35113—2017《稳定性肥料》，与GB/T</w:t>
      </w:r>
      <w:r>
        <w:t xml:space="preserve"> </w:t>
      </w:r>
      <w:r>
        <w:rPr>
          <w:rFonts w:hint="eastAsia"/>
        </w:rPr>
        <w:t>35113—2017相比，除编辑性改动外，主要技术变化如下：</w:t>
      </w:r>
    </w:p>
    <w:p w14:paraId="70C9F282">
      <w:pPr>
        <w:pStyle w:val="132"/>
      </w:pPr>
      <w:r>
        <w:rPr>
          <w:rFonts w:hint="eastAsia"/>
        </w:rPr>
        <w:t>将产品分型由I型、II型、III型改为脲酶抑制型</w:t>
      </w:r>
      <w:r>
        <w:rPr>
          <w:rFonts w:hint="eastAsia"/>
          <w:color w:val="0000FF"/>
        </w:rPr>
        <w:t>（I型）</w:t>
      </w:r>
      <w:r>
        <w:rPr>
          <w:rFonts w:hint="eastAsia"/>
        </w:rPr>
        <w:t>、硝化抑制型</w:t>
      </w:r>
      <w:r>
        <w:rPr>
          <w:rFonts w:hint="eastAsia"/>
          <w:color w:val="0000FF"/>
        </w:rPr>
        <w:t>（II型）</w:t>
      </w:r>
      <w:r>
        <w:rPr>
          <w:rFonts w:hint="eastAsia"/>
        </w:rPr>
        <w:t>、复合型</w:t>
      </w:r>
      <w:r>
        <w:rPr>
          <w:rFonts w:hint="eastAsia"/>
          <w:color w:val="0000FF"/>
        </w:rPr>
        <w:t>（III型）</w:t>
      </w:r>
      <w:r>
        <w:rPr>
          <w:rFonts w:hint="eastAsia"/>
        </w:rPr>
        <w:t>，并给出了定义（见3.2、3.3、3.4），给出了指标要求（见第4章）；</w:t>
      </w:r>
    </w:p>
    <w:p w14:paraId="4D5C49C4">
      <w:pPr>
        <w:pStyle w:val="132"/>
      </w:pPr>
      <w:r>
        <w:rPr>
          <w:rFonts w:hint="eastAsia"/>
        </w:rPr>
        <w:t>将指标项“硝化抑制率”修改为“硝化潜势差异率”（见第4章），并给出了检测方法（见5.3）；</w:t>
      </w:r>
    </w:p>
    <w:p w14:paraId="412EC71A">
      <w:pPr>
        <w:pStyle w:val="132"/>
      </w:pPr>
      <w:r>
        <w:rPr>
          <w:rFonts w:hint="eastAsia"/>
          <w:color w:val="00B0F0"/>
        </w:rPr>
        <w:t>修改了尿素残留差异率的测定步骤（见5.2）</w:t>
      </w:r>
      <w:r>
        <w:rPr>
          <w:rFonts w:hint="eastAsia"/>
        </w:rPr>
        <w:t>；</w:t>
      </w:r>
    </w:p>
    <w:p w14:paraId="55EF419E">
      <w:pPr>
        <w:pStyle w:val="132"/>
      </w:pPr>
      <w:r>
        <w:rPr>
          <w:rFonts w:hint="eastAsia"/>
        </w:rPr>
        <w:t>增加了对肥料总氮含量的检测（见5.3.5.1），</w:t>
      </w:r>
      <w:r>
        <w:rPr>
          <w:rFonts w:hint="eastAsia"/>
          <w:color w:val="00B0F0"/>
        </w:rPr>
        <w:t>修改了对肥料中尿素含量的测定方法（见5.2.4.1和5.3.5.2）和硝态氮含量的检测（见5.3.5.3）；</w:t>
      </w:r>
    </w:p>
    <w:p w14:paraId="2AB5FCB5">
      <w:pPr>
        <w:pStyle w:val="132"/>
      </w:pPr>
      <w:r>
        <w:rPr>
          <w:rFonts w:hint="eastAsia"/>
        </w:rPr>
        <w:t>增加了对脲酶抑制剂NBPT含量、硝化抑制剂DCD含量、硝化抑制剂DMPP含量指标（见第4章）和对应的检测方法（见5.</w:t>
      </w:r>
      <w:r>
        <w:t>4</w:t>
      </w:r>
      <w:r>
        <w:rPr>
          <w:rFonts w:hint="eastAsia"/>
        </w:rPr>
        <w:t>、5.</w:t>
      </w:r>
      <w:r>
        <w:t>5</w:t>
      </w:r>
      <w:r>
        <w:rPr>
          <w:rFonts w:hint="eastAsia"/>
        </w:rPr>
        <w:t>、5.</w:t>
      </w:r>
      <w:r>
        <w:t>6</w:t>
      </w:r>
      <w:r>
        <w:rPr>
          <w:rFonts w:hint="eastAsia"/>
        </w:rPr>
        <w:t>）；</w:t>
      </w:r>
    </w:p>
    <w:p w14:paraId="60B31285">
      <w:pPr>
        <w:pStyle w:val="132"/>
      </w:pPr>
      <w:r>
        <w:rPr>
          <w:rFonts w:hint="eastAsia"/>
        </w:rPr>
        <w:t>修改了标识（见第</w:t>
      </w:r>
      <w:r>
        <w:t>7</w:t>
      </w:r>
      <w:r>
        <w:rPr>
          <w:rFonts w:hint="eastAsia"/>
        </w:rPr>
        <w:t>章）。</w:t>
      </w:r>
    </w:p>
    <w:p w14:paraId="35D6E209">
      <w:pPr>
        <w:pStyle w:val="132"/>
      </w:pPr>
      <w:r>
        <w:rPr>
          <w:rFonts w:hint="eastAsia"/>
          <w:color w:val="0000FF"/>
        </w:rPr>
        <w:t>修改了附录A和附录B；</w:t>
      </w:r>
    </w:p>
    <w:p w14:paraId="0ADF890F">
      <w:pPr>
        <w:pStyle w:val="56"/>
        <w:ind w:firstLine="420"/>
        <w:rPr>
          <w:color w:val="FF0000"/>
        </w:rPr>
      </w:pPr>
      <w:r>
        <w:rPr>
          <w:rFonts w:hint="eastAsia"/>
        </w:rPr>
        <w:t>本文件由中国石油和化学工业联合会提出。</w:t>
      </w:r>
    </w:p>
    <w:p w14:paraId="6E10CD6F">
      <w:pPr>
        <w:pStyle w:val="56"/>
        <w:ind w:firstLine="420"/>
      </w:pPr>
      <w:r>
        <w:rPr>
          <w:rFonts w:hint="eastAsia"/>
        </w:rPr>
        <w:t>本文件由全国肥料和土壤调理剂标准化技术委员会（SAC/TC</w:t>
      </w:r>
      <w:r>
        <w:t>105</w:t>
      </w:r>
      <w:r>
        <w:rPr>
          <w:rFonts w:hint="eastAsia"/>
        </w:rPr>
        <w:t>）归口。</w:t>
      </w:r>
    </w:p>
    <w:p w14:paraId="6206B533">
      <w:pPr>
        <w:pStyle w:val="56"/>
        <w:ind w:firstLine="420"/>
      </w:pPr>
      <w:r>
        <w:rPr>
          <w:rFonts w:hint="eastAsia"/>
        </w:rPr>
        <w:t>本文件起草单位：</w:t>
      </w:r>
    </w:p>
    <w:p w14:paraId="5A565724">
      <w:pPr>
        <w:pStyle w:val="56"/>
        <w:ind w:firstLine="420"/>
      </w:pPr>
      <w:r>
        <w:rPr>
          <w:rFonts w:hint="eastAsia"/>
        </w:rPr>
        <w:t>本文件主要起草人：</w:t>
      </w:r>
    </w:p>
    <w:p w14:paraId="272F2480">
      <w:pPr>
        <w:pStyle w:val="56"/>
        <w:ind w:firstLine="420"/>
      </w:pPr>
      <w:r>
        <w:rPr>
          <w:rFonts w:hint="eastAsia"/>
        </w:rPr>
        <w:t>本文件于2</w:t>
      </w:r>
      <w:r>
        <w:t>017</w:t>
      </w:r>
      <w:r>
        <w:rPr>
          <w:rFonts w:hint="eastAsia"/>
        </w:rPr>
        <w:t>年首次发布，本次为第一次修订。</w:t>
      </w:r>
    </w:p>
    <w:p w14:paraId="0CE54B9E">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2"/>
    <w:p w14:paraId="037B5B68">
      <w:pPr>
        <w:spacing w:line="20" w:lineRule="exact"/>
        <w:jc w:val="center"/>
        <w:rPr>
          <w:rFonts w:ascii="黑体" w:hAnsi="黑体" w:eastAsia="黑体"/>
          <w:sz w:val="32"/>
          <w:szCs w:val="32"/>
        </w:rPr>
      </w:pPr>
      <w:bookmarkStart w:id="23" w:name="BookMark4"/>
    </w:p>
    <w:p w14:paraId="0B2E9F43">
      <w:pPr>
        <w:spacing w:line="20" w:lineRule="exact"/>
        <w:jc w:val="center"/>
        <w:rPr>
          <w:rFonts w:ascii="黑体" w:hAnsi="黑体" w:eastAsia="黑体"/>
          <w:sz w:val="32"/>
          <w:szCs w:val="32"/>
        </w:rPr>
      </w:pPr>
    </w:p>
    <w:sdt>
      <w:sdtPr>
        <w:tag w:val="NEW_STAND_NAME"/>
        <w:id w:val="595910757"/>
        <w:lock w:val="sdtLocked"/>
        <w:placeholder>
          <w:docPart w:val="5DE812EF5E1C485EA7A4DC8A7CC97254"/>
        </w:placeholder>
      </w:sdtPr>
      <w:sdtContent>
        <w:p w14:paraId="210A8748">
          <w:pPr>
            <w:pStyle w:val="177"/>
            <w:spacing w:before="3" w:beforeLines="1" w:after="686" w:afterLines="220"/>
          </w:pPr>
          <w:bookmarkStart w:id="24" w:name="NEW_STAND_NAME"/>
          <w:r>
            <w:rPr>
              <w:rFonts w:hint="eastAsia"/>
            </w:rPr>
            <w:t>稳定性肥料</w:t>
          </w:r>
        </w:p>
      </w:sdtContent>
    </w:sdt>
    <w:bookmarkEnd w:id="24"/>
    <w:p w14:paraId="7FAA45E8">
      <w:pPr>
        <w:pStyle w:val="104"/>
        <w:spacing w:before="312" w:after="312"/>
      </w:pPr>
      <w:bookmarkStart w:id="25" w:name="_Toc26986530"/>
      <w:bookmarkStart w:id="26" w:name="_Toc26648465"/>
      <w:bookmarkStart w:id="27" w:name="_Toc231994831"/>
      <w:bookmarkStart w:id="28" w:name="_Toc24884211"/>
      <w:bookmarkStart w:id="29" w:name="_Toc26718930"/>
      <w:bookmarkStart w:id="30" w:name="_Toc231994767"/>
      <w:bookmarkStart w:id="31" w:name="_Toc17233333"/>
      <w:bookmarkStart w:id="32" w:name="_Toc26986771"/>
      <w:bookmarkStart w:id="33" w:name="_Toc97190718"/>
      <w:bookmarkStart w:id="34" w:name="_Toc24884218"/>
      <w:bookmarkStart w:id="35" w:name="_Toc17233325"/>
      <w:r>
        <w:rPr>
          <w:rFonts w:hint="eastAsia"/>
        </w:rPr>
        <w:t>范围</w:t>
      </w:r>
      <w:bookmarkEnd w:id="25"/>
      <w:bookmarkEnd w:id="26"/>
      <w:bookmarkEnd w:id="27"/>
      <w:bookmarkEnd w:id="28"/>
      <w:bookmarkEnd w:id="29"/>
      <w:bookmarkEnd w:id="30"/>
      <w:bookmarkEnd w:id="31"/>
      <w:bookmarkEnd w:id="32"/>
      <w:bookmarkEnd w:id="33"/>
      <w:bookmarkEnd w:id="34"/>
      <w:bookmarkEnd w:id="35"/>
    </w:p>
    <w:p w14:paraId="6A1F5333">
      <w:pPr>
        <w:pStyle w:val="56"/>
        <w:ind w:firstLine="420"/>
      </w:pPr>
      <w:bookmarkStart w:id="36" w:name="_Toc24884212"/>
      <w:bookmarkStart w:id="37" w:name="_Toc26648466"/>
      <w:bookmarkStart w:id="38" w:name="_Toc24884219"/>
      <w:bookmarkStart w:id="39" w:name="_Toc17233326"/>
      <w:bookmarkStart w:id="40" w:name="_Toc17233334"/>
      <w:r>
        <w:rPr>
          <w:rFonts w:hint="eastAsia"/>
        </w:rPr>
        <w:t>本文件规定了稳定性肥料的术语和定义、要求、试验方法、检验规则、标识、包装、运输和贮存。</w:t>
      </w:r>
    </w:p>
    <w:p w14:paraId="2BAB87F7">
      <w:pPr>
        <w:pStyle w:val="56"/>
        <w:ind w:firstLine="420"/>
      </w:pPr>
      <w:r>
        <w:rPr>
          <w:rFonts w:hint="eastAsia"/>
        </w:rPr>
        <w:t>本文件适用于添加脲酶抑制剂和（或）硝化抑制剂的含氮肥料。</w:t>
      </w:r>
    </w:p>
    <w:p w14:paraId="6FBE724D">
      <w:pPr>
        <w:pStyle w:val="180"/>
        <w:rPr>
          <w:color w:val="1D41D5"/>
        </w:rPr>
      </w:pPr>
      <w:r>
        <w:rPr>
          <w:rFonts w:hint="eastAsia"/>
          <w:color w:val="1D41D5"/>
        </w:rPr>
        <w:t>含氮指必须包括酰胺态氮和铵态氮中的任意一种或两种。</w:t>
      </w:r>
    </w:p>
    <w:p w14:paraId="4D2233EE">
      <w:pPr>
        <w:pStyle w:val="180"/>
      </w:pPr>
      <w:r>
        <w:rPr>
          <w:rFonts w:hint="eastAsia"/>
        </w:rPr>
        <w:t>添加脲酶抑制剂的肥料应含尿素。</w:t>
      </w:r>
    </w:p>
    <w:p w14:paraId="7C3E4728">
      <w:pPr>
        <w:pStyle w:val="180"/>
        <w:numPr>
          <w:ilvl w:val="0"/>
          <w:numId w:val="0"/>
        </w:numPr>
        <w:ind w:left="363"/>
        <w:rPr>
          <w:color w:val="00B0F0"/>
        </w:rPr>
      </w:pPr>
      <w:r>
        <w:rPr>
          <w:rFonts w:hint="eastAsia" w:hAnsi="宋体" w:cs="宋体"/>
          <w:color w:val="00B0F0"/>
          <w:sz w:val="21"/>
          <w:szCs w:val="21"/>
        </w:rPr>
        <w:t>本文件规定的三种类型（脲酶抑制型、硝化抑制型、复合型）稳定性肥料均包括单质氮肥、复合肥料和掺混肥料等形态。</w:t>
      </w:r>
    </w:p>
    <w:p w14:paraId="5F66941F">
      <w:pPr>
        <w:pStyle w:val="56"/>
        <w:ind w:firstLine="420"/>
      </w:pPr>
      <w:r>
        <w:rPr>
          <w:rFonts w:hint="eastAsia"/>
        </w:rPr>
        <w:t>本文件不适用于通过改变肥料结构或颗粒外包膜生产的肥料，也不适用于氮源仅为硝态氮的肥料。</w:t>
      </w:r>
    </w:p>
    <w:p w14:paraId="08AA55F2">
      <w:pPr>
        <w:pStyle w:val="104"/>
        <w:spacing w:before="312" w:after="312"/>
      </w:pPr>
      <w:bookmarkStart w:id="41" w:name="_Toc231994768"/>
      <w:bookmarkStart w:id="42" w:name="_Toc26986772"/>
      <w:bookmarkStart w:id="43" w:name="_Toc97190719"/>
      <w:bookmarkStart w:id="44" w:name="_Toc26986531"/>
      <w:bookmarkStart w:id="45" w:name="_Toc231994832"/>
      <w:bookmarkStart w:id="46" w:name="_Toc26718931"/>
      <w:r>
        <w:rPr>
          <w:rFonts w:hint="eastAsia"/>
        </w:rPr>
        <w:t>规范性引用文件</w:t>
      </w:r>
      <w:bookmarkEnd w:id="36"/>
      <w:bookmarkEnd w:id="37"/>
      <w:bookmarkEnd w:id="38"/>
      <w:bookmarkEnd w:id="39"/>
      <w:bookmarkEnd w:id="40"/>
      <w:bookmarkEnd w:id="41"/>
      <w:bookmarkEnd w:id="42"/>
      <w:bookmarkEnd w:id="43"/>
      <w:bookmarkEnd w:id="44"/>
      <w:bookmarkEnd w:id="45"/>
      <w:bookmarkEnd w:id="46"/>
    </w:p>
    <w:sdt>
      <w:sdtPr>
        <w:rPr>
          <w:rFonts w:hint="eastAsia"/>
        </w:rPr>
        <w:tag w:val="NorRefControl"/>
        <w:id w:val="715848253"/>
        <w:placeholder>
          <w:docPart w:val="3365F9C482E441FC8EE10B47976E4E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11DBB5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E793449">
      <w:pPr>
        <w:pStyle w:val="56"/>
        <w:ind w:firstLine="420"/>
      </w:pPr>
      <w:bookmarkStart w:id="47" w:name="OLE_LINK1"/>
      <w:r>
        <w:rPr>
          <w:rFonts w:hint="eastAsia"/>
        </w:rPr>
        <w:t xml:space="preserve">GB/T 3597 </w:t>
      </w:r>
      <w:r>
        <w:t xml:space="preserve"> </w:t>
      </w:r>
      <w:r>
        <w:rPr>
          <w:rFonts w:hint="eastAsia"/>
        </w:rPr>
        <w:t xml:space="preserve">肥料中硝态氮含量的测定 氮试剂重量法 </w:t>
      </w:r>
    </w:p>
    <w:p w14:paraId="03C53501">
      <w:pPr>
        <w:pStyle w:val="56"/>
        <w:ind w:firstLine="420"/>
      </w:pPr>
      <w:r>
        <w:rPr>
          <w:rFonts w:hint="eastAsia"/>
        </w:rPr>
        <w:t xml:space="preserve">GB/T 6678 </w:t>
      </w:r>
      <w:r>
        <w:t xml:space="preserve"> </w:t>
      </w:r>
      <w:r>
        <w:rPr>
          <w:rFonts w:hint="eastAsia"/>
        </w:rPr>
        <w:t>化工产品采样总则</w:t>
      </w:r>
    </w:p>
    <w:p w14:paraId="49014FFD">
      <w:pPr>
        <w:pStyle w:val="56"/>
        <w:ind w:firstLine="420"/>
      </w:pPr>
      <w:r>
        <w:rPr>
          <w:rFonts w:hint="eastAsia"/>
        </w:rPr>
        <w:t xml:space="preserve">GB/T 6679 </w:t>
      </w:r>
      <w:r>
        <w:t xml:space="preserve"> </w:t>
      </w:r>
      <w:r>
        <w:rPr>
          <w:rFonts w:hint="eastAsia"/>
        </w:rPr>
        <w:t>固体化工产品采样通则</w:t>
      </w:r>
    </w:p>
    <w:p w14:paraId="2C6D4F2E">
      <w:pPr>
        <w:pStyle w:val="56"/>
        <w:ind w:firstLine="420"/>
      </w:pPr>
      <w:r>
        <w:rPr>
          <w:rFonts w:hint="eastAsia"/>
        </w:rPr>
        <w:t xml:space="preserve">GB/T 6680 </w:t>
      </w:r>
      <w:r>
        <w:t xml:space="preserve"> </w:t>
      </w:r>
      <w:r>
        <w:rPr>
          <w:rFonts w:hint="eastAsia"/>
        </w:rPr>
        <w:t>液体化工产品采样通则</w:t>
      </w:r>
    </w:p>
    <w:p w14:paraId="56E0343D">
      <w:pPr>
        <w:pStyle w:val="56"/>
        <w:ind w:firstLine="420"/>
      </w:pPr>
      <w:r>
        <w:rPr>
          <w:rFonts w:hint="eastAsia"/>
        </w:rPr>
        <w:t xml:space="preserve">GB/T 8170 </w:t>
      </w:r>
      <w:r>
        <w:t xml:space="preserve"> </w:t>
      </w:r>
      <w:r>
        <w:rPr>
          <w:rFonts w:hint="eastAsia"/>
        </w:rPr>
        <w:t>数值修约规则与极限数值的表示和判定</w:t>
      </w:r>
    </w:p>
    <w:p w14:paraId="0850C32A">
      <w:pPr>
        <w:pStyle w:val="56"/>
        <w:ind w:firstLine="420"/>
      </w:pPr>
      <w:r>
        <w:rPr>
          <w:rFonts w:hint="eastAsia"/>
        </w:rPr>
        <w:t xml:space="preserve">GB/T 8569 </w:t>
      </w:r>
      <w:r>
        <w:t xml:space="preserve"> </w:t>
      </w:r>
      <w:r>
        <w:rPr>
          <w:rFonts w:hint="eastAsia"/>
        </w:rPr>
        <w:t>固体化学肥料包装</w:t>
      </w:r>
    </w:p>
    <w:p w14:paraId="4CE47D83">
      <w:pPr>
        <w:pStyle w:val="56"/>
        <w:ind w:firstLine="420"/>
      </w:pPr>
      <w:r>
        <w:rPr>
          <w:rFonts w:hint="eastAsia"/>
        </w:rPr>
        <w:t>GB/T 8572  复混肥料中总氮含量的测定 蒸馏后滴定法</w:t>
      </w:r>
    </w:p>
    <w:p w14:paraId="1ADE90AA">
      <w:pPr>
        <w:pStyle w:val="56"/>
        <w:ind w:firstLine="420"/>
      </w:pPr>
      <w:r>
        <w:rPr>
          <w:rFonts w:hint="eastAsia"/>
        </w:rPr>
        <w:t>GB 18382  肥料标识 内容和要求</w:t>
      </w:r>
    </w:p>
    <w:p w14:paraId="7AC974C4">
      <w:pPr>
        <w:pStyle w:val="56"/>
        <w:ind w:firstLine="420"/>
        <w:rPr>
          <w:color w:val="0000FF"/>
        </w:rPr>
      </w:pPr>
      <w:r>
        <w:rPr>
          <w:rFonts w:hint="eastAsia"/>
          <w:color w:val="0000FF"/>
        </w:rPr>
        <w:t>GB/T 21633  掺混肥料（BB肥）</w:t>
      </w:r>
    </w:p>
    <w:p w14:paraId="1FCDB401">
      <w:pPr>
        <w:pStyle w:val="56"/>
        <w:ind w:firstLine="420"/>
        <w:rPr>
          <w:color w:val="0000FF"/>
        </w:rPr>
      </w:pPr>
      <w:r>
        <w:rPr>
          <w:rFonts w:hint="eastAsia"/>
          <w:color w:val="0000FF"/>
        </w:rPr>
        <w:t>GB/T 22923  肥料中氮、磷、钾的自动分析仪测定法</w:t>
      </w:r>
    </w:p>
    <w:p w14:paraId="5CFF9348">
      <w:pPr>
        <w:pStyle w:val="56"/>
        <w:ind w:firstLine="420"/>
        <w:rPr>
          <w:rFonts w:hAnsi="宋体"/>
          <w:color w:val="0000FF"/>
        </w:rPr>
      </w:pPr>
      <w:r>
        <w:rPr>
          <w:rFonts w:hint="eastAsia"/>
          <w:color w:val="0000FF"/>
        </w:rPr>
        <w:t>GB/T 41223  土壤质量 硝化潜势和硝化抑制作用的测定 氨氧化快速检测法</w:t>
      </w:r>
    </w:p>
    <w:p w14:paraId="7E4E68DE">
      <w:pPr>
        <w:pStyle w:val="56"/>
        <w:ind w:firstLine="420"/>
        <w:rPr>
          <w:rFonts w:hAnsi="宋体"/>
          <w:color w:val="0000FF"/>
        </w:rPr>
      </w:pPr>
      <w:r>
        <w:rPr>
          <w:rFonts w:hint="eastAsia"/>
          <w:color w:val="0000FF"/>
        </w:rPr>
        <w:t>GB/T 42485  土壤质量 土壤硝态氮、亚硝态氮和铵态氮的测定 氯化钾溶液浸提手工分析法</w:t>
      </w:r>
    </w:p>
    <w:p w14:paraId="3630F9BE">
      <w:pPr>
        <w:pStyle w:val="56"/>
        <w:ind w:firstLine="420"/>
      </w:pPr>
      <w:r>
        <w:rPr>
          <w:rFonts w:hint="eastAsia"/>
        </w:rPr>
        <w:t>GB/T 42955  肥料中总氮含量的测定 杜马斯燃烧法</w:t>
      </w:r>
    </w:p>
    <w:p w14:paraId="6715B62D">
      <w:pPr>
        <w:pStyle w:val="56"/>
        <w:ind w:firstLine="420"/>
        <w:rPr>
          <w:color w:val="1D41D5"/>
        </w:rPr>
      </w:pPr>
      <w:r>
        <w:rPr>
          <w:rFonts w:hint="eastAsia"/>
          <w:color w:val="1D41D5"/>
        </w:rPr>
        <w:t>GB/T 46742  肥料中正丁基硫代磷酰三胺和双氰胺的同时测定 高效液相色谱法</w:t>
      </w:r>
    </w:p>
    <w:p w14:paraId="7F8B213D">
      <w:pPr>
        <w:pStyle w:val="56"/>
        <w:ind w:firstLine="420"/>
      </w:pPr>
      <w:r>
        <w:rPr>
          <w:rFonts w:hint="eastAsia"/>
        </w:rPr>
        <w:t xml:space="preserve">HG/T 2843 </w:t>
      </w:r>
      <w:r>
        <w:t xml:space="preserve"> </w:t>
      </w:r>
      <w:r>
        <w:rPr>
          <w:rFonts w:hint="eastAsia"/>
        </w:rPr>
        <w:t>化肥产品 化学分析中常用标准滴定溶液、标准溶液、试剂溶液和指示剂溶液</w:t>
      </w:r>
    </w:p>
    <w:p w14:paraId="500D3DA1">
      <w:pPr>
        <w:pStyle w:val="56"/>
        <w:ind w:firstLine="420"/>
        <w:rPr>
          <w:color w:val="0000FF"/>
        </w:rPr>
      </w:pPr>
      <w:r>
        <w:rPr>
          <w:rFonts w:hint="eastAsia"/>
          <w:color w:val="0000FF"/>
        </w:rPr>
        <w:t>NY/T 52 土壤水分测定法</w:t>
      </w:r>
    </w:p>
    <w:p w14:paraId="37E517EA">
      <w:pPr>
        <w:pStyle w:val="56"/>
        <w:ind w:firstLine="420"/>
        <w:rPr>
          <w:color w:val="FF0000"/>
        </w:rPr>
      </w:pPr>
      <w:r>
        <w:rPr>
          <w:rFonts w:hint="eastAsia"/>
        </w:rPr>
        <w:t>NY/T 1121.1 土壤检测 第1部分：土壤样品的采集、处理和贮存</w:t>
      </w:r>
    </w:p>
    <w:p w14:paraId="0299D3FE">
      <w:pPr>
        <w:pStyle w:val="56"/>
        <w:ind w:firstLine="420"/>
      </w:pPr>
      <w:r>
        <w:rPr>
          <w:rFonts w:hint="eastAsia"/>
        </w:rPr>
        <w:t>NY/T 2877  肥料增效剂 双氰胺含量的测定</w:t>
      </w:r>
    </w:p>
    <w:p w14:paraId="2B032727">
      <w:pPr>
        <w:pStyle w:val="56"/>
        <w:ind w:firstLine="420"/>
      </w:pPr>
      <w:r>
        <w:rPr>
          <w:rFonts w:hint="eastAsia"/>
        </w:rPr>
        <w:t>NY/T 3038  肥料增效剂 正丁基硫代磷酰三胺（NBPT）和正丙基硫代磷酰三胺（NPPT）含量的测定</w:t>
      </w:r>
    </w:p>
    <w:p w14:paraId="0592CE64">
      <w:pPr>
        <w:pStyle w:val="56"/>
        <w:ind w:firstLine="420"/>
      </w:pPr>
      <w:r>
        <w:rPr>
          <w:rFonts w:hint="eastAsia"/>
        </w:rPr>
        <w:t>NY/T 3423 肥料增效剂 3,4 - 二甲基吡唑磷酸盐（DMPP）含量的测定</w:t>
      </w:r>
    </w:p>
    <w:p w14:paraId="34F171EA">
      <w:pPr>
        <w:pStyle w:val="56"/>
        <w:ind w:firstLine="420"/>
      </w:pPr>
      <w:r>
        <w:t xml:space="preserve">ISO 19746 </w:t>
      </w:r>
      <w:r>
        <w:rPr>
          <w:rFonts w:hint="eastAsia"/>
        </w:rPr>
        <w:t>尿素基肥料中尿素含量的测定 高效液相色谱法（HPLC）（Determination of urea content in urea-based fertilizers by high performance liquid chromatography (HPLC)）</w:t>
      </w:r>
    </w:p>
    <w:bookmarkEnd w:id="47"/>
    <w:p w14:paraId="5726353F">
      <w:pPr>
        <w:pStyle w:val="104"/>
        <w:spacing w:before="312" w:after="312"/>
      </w:pPr>
      <w:bookmarkStart w:id="48" w:name="_Toc231994769"/>
      <w:bookmarkStart w:id="49" w:name="_Toc97190720"/>
      <w:bookmarkStart w:id="50" w:name="_Toc231994833"/>
      <w:r>
        <w:rPr>
          <w:rFonts w:hint="eastAsia"/>
          <w:szCs w:val="21"/>
        </w:rPr>
        <w:t>术语和定义</w:t>
      </w:r>
      <w:bookmarkEnd w:id="48"/>
      <w:bookmarkEnd w:id="49"/>
      <w:bookmarkEnd w:id="50"/>
    </w:p>
    <w:sdt>
      <w:sdtPr>
        <w:tag w:val="TermDefControl"/>
        <w:id w:val="-1909835108"/>
        <w:placeholder>
          <w:docPart w:val="3365F9C482E441FC8EE10B47976E4EF4"/>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1CBB5DF">
          <w:pPr>
            <w:pStyle w:val="56"/>
            <w:ind w:firstLine="420"/>
          </w:pPr>
          <w:bookmarkStart w:id="51" w:name="_Toc26986532"/>
          <w:bookmarkEnd w:id="51"/>
          <w:r>
            <w:t>下列术语和定义适用于本文件。</w:t>
          </w:r>
        </w:p>
      </w:sdtContent>
    </w:sdt>
    <w:p w14:paraId="24082BB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稳定性肥料</w:t>
      </w:r>
      <w:r>
        <w:rPr>
          <w:rFonts w:hint="eastAsia" w:ascii="黑体" w:hAnsi="黑体" w:eastAsia="黑体"/>
        </w:rPr>
        <w:t xml:space="preserve"> stabilized fertilizer</w:t>
      </w:r>
    </w:p>
    <w:p w14:paraId="2D80EF88">
      <w:pPr>
        <w:pStyle w:val="56"/>
        <w:ind w:firstLine="420"/>
      </w:pPr>
      <w:r>
        <w:rPr>
          <w:rFonts w:hint="eastAsia"/>
        </w:rPr>
        <w:t>经过一定工艺加入脲酶抑制剂和（或）硝化抑制剂，施入土壤后能通过脲酶抑制剂抑制尿素的水解，和（或）通过硝化抑制剂抑制铵态氮的硝化，使肥效期得到延长的一类含氮肥料（包括含氮的二元或三元肥料和单质氮肥）。</w:t>
      </w:r>
    </w:p>
    <w:p w14:paraId="7B30FE73">
      <w:pPr>
        <w:pStyle w:val="223"/>
        <w:ind w:left="420" w:hanging="420" w:hangingChars="200"/>
        <w:rPr>
          <w:rFonts w:ascii="黑体" w:hAnsi="黑体" w:eastAsia="黑体"/>
        </w:rPr>
      </w:pPr>
    </w:p>
    <w:p w14:paraId="79F97D54">
      <w:pPr>
        <w:pStyle w:val="223"/>
        <w:numPr>
          <w:ilvl w:val="0"/>
          <w:numId w:val="0"/>
        </w:numPr>
        <w:ind w:left="420"/>
      </w:pPr>
      <w:r>
        <w:rPr>
          <w:rFonts w:hint="eastAsia" w:ascii="黑体" w:hAnsi="黑体" w:eastAsia="黑体" w:cs="黑体"/>
        </w:rPr>
        <w:t>脲酶抑制型</w:t>
      </w:r>
      <w:r>
        <w:rPr>
          <w:rFonts w:hint="eastAsia" w:ascii="黑体" w:hAnsi="黑体" w:eastAsia="黑体" w:cs="黑体"/>
          <w:color w:val="1D41D5"/>
        </w:rPr>
        <w:t>（Ⅰ型）</w:t>
      </w:r>
      <w:r>
        <w:rPr>
          <w:rFonts w:hint="eastAsia" w:ascii="黑体" w:hAnsi="黑体" w:eastAsia="黑体" w:cs="黑体"/>
        </w:rPr>
        <w:t>稳定性肥料</w:t>
      </w:r>
      <w:r>
        <w:rPr>
          <w:rFonts w:hint="eastAsia"/>
        </w:rPr>
        <w:t xml:space="preserve"> urease inhibited type</w:t>
      </w:r>
      <w:r>
        <w:rPr>
          <w:rFonts w:hint="eastAsia" w:ascii="黑体" w:hAnsi="黑体" w:eastAsia="黑体" w:cs="黑体"/>
          <w:color w:val="1D41D5"/>
        </w:rPr>
        <w:t>（Ⅰtype）</w:t>
      </w:r>
      <w:r>
        <w:rPr>
          <w:rFonts w:hint="eastAsia"/>
        </w:rPr>
        <w:t>stabilized fertilizer</w:t>
      </w:r>
    </w:p>
    <w:p w14:paraId="199BFCB6">
      <w:pPr>
        <w:pStyle w:val="56"/>
        <w:ind w:firstLine="420"/>
      </w:pPr>
      <w:r>
        <w:rPr>
          <w:rFonts w:hint="eastAsia"/>
          <w:szCs w:val="21"/>
        </w:rPr>
        <w:t>在生产中只添加脲酶抑制剂的稳定性肥料，主要包括尿素和以尿素为氮源的二元或三元肥料。</w:t>
      </w:r>
    </w:p>
    <w:p w14:paraId="39960AA6">
      <w:pPr>
        <w:pStyle w:val="223"/>
        <w:ind w:left="420" w:hanging="420" w:hangingChars="200"/>
        <w:rPr>
          <w:rFonts w:ascii="黑体" w:hAnsi="黑体" w:eastAsia="黑体"/>
        </w:rPr>
      </w:pPr>
    </w:p>
    <w:p w14:paraId="50CC7AF0">
      <w:pPr>
        <w:pStyle w:val="223"/>
        <w:numPr>
          <w:ilvl w:val="0"/>
          <w:numId w:val="0"/>
        </w:numPr>
        <w:ind w:left="420"/>
      </w:pPr>
      <w:r>
        <w:rPr>
          <w:rFonts w:hint="eastAsia" w:ascii="黑体" w:hAnsi="黑体" w:eastAsia="黑体" w:cs="黑体"/>
        </w:rPr>
        <w:t>硝化抑制型</w:t>
      </w:r>
      <w:r>
        <w:rPr>
          <w:rFonts w:hint="eastAsia" w:ascii="黑体" w:hAnsi="黑体" w:eastAsia="黑体" w:cs="黑体"/>
          <w:color w:val="1D41D5"/>
        </w:rPr>
        <w:t>（Ⅱ型）</w:t>
      </w:r>
      <w:r>
        <w:rPr>
          <w:rFonts w:hint="eastAsia" w:ascii="黑体" w:hAnsi="黑体" w:eastAsia="黑体" w:cs="黑体"/>
        </w:rPr>
        <w:t>稳定性肥料</w:t>
      </w:r>
      <w:r>
        <w:rPr>
          <w:rFonts w:hint="eastAsia"/>
        </w:rPr>
        <w:t xml:space="preserve"> nitrification inhibited type</w:t>
      </w:r>
      <w:r>
        <w:rPr>
          <w:rFonts w:hint="eastAsia" w:ascii="黑体" w:hAnsi="黑体" w:eastAsia="黑体" w:cs="黑体"/>
          <w:color w:val="1D41D5"/>
        </w:rPr>
        <w:t>（Ⅱtype）</w:t>
      </w:r>
      <w:r>
        <w:rPr>
          <w:rFonts w:hint="eastAsia"/>
        </w:rPr>
        <w:t>stabilized fertilizer</w:t>
      </w:r>
    </w:p>
    <w:p w14:paraId="73B8527F">
      <w:pPr>
        <w:pStyle w:val="229"/>
        <w:rPr>
          <w:rFonts w:ascii="Times New Roman"/>
          <w:szCs w:val="21"/>
        </w:rPr>
      </w:pPr>
      <w:r>
        <w:rPr>
          <w:rFonts w:hint="eastAsia" w:ascii="Times New Roman"/>
          <w:szCs w:val="21"/>
        </w:rPr>
        <w:t>在生产中只添加硝化抑制剂的稳定性肥料，主要包括以氯化铵、硫酸铵、碳酸氢铵和硝酸铵等为氮源的</w:t>
      </w:r>
      <w:r>
        <w:rPr>
          <w:rFonts w:hint="eastAsia" w:ascii="Times New Roman"/>
          <w:color w:val="0000FF"/>
          <w:szCs w:val="21"/>
        </w:rPr>
        <w:t>单质氮肥、复合肥料和掺混肥料。</w:t>
      </w:r>
    </w:p>
    <w:p w14:paraId="619E903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复合型</w:t>
      </w:r>
      <w:r>
        <w:rPr>
          <w:rFonts w:hint="eastAsia" w:ascii="黑体" w:hAnsi="黑体" w:eastAsia="黑体" w:cs="黑体"/>
          <w:color w:val="1D41D5"/>
        </w:rPr>
        <w:t>（Ⅲ型）</w:t>
      </w:r>
      <w:r>
        <w:rPr>
          <w:rFonts w:hint="eastAsia" w:ascii="黑体" w:hAnsi="黑体" w:eastAsia="黑体" w:cs="黑体"/>
        </w:rPr>
        <w:t>稳定性肥料</w:t>
      </w:r>
      <w:r>
        <w:rPr>
          <w:rFonts w:hint="eastAsia" w:ascii="黑体" w:hAnsi="黑体" w:eastAsia="黑体"/>
        </w:rPr>
        <w:t xml:space="preserve"> compound </w:t>
      </w:r>
      <w:r>
        <w:rPr>
          <w:rFonts w:hint="eastAsia"/>
        </w:rPr>
        <w:t>type</w:t>
      </w:r>
      <w:r>
        <w:rPr>
          <w:rFonts w:hint="eastAsia" w:ascii="黑体" w:hAnsi="黑体" w:eastAsia="黑体" w:cs="黑体"/>
          <w:color w:val="1D41D5"/>
        </w:rPr>
        <w:t>（Ⅲtype）</w:t>
      </w:r>
      <w:r>
        <w:rPr>
          <w:rFonts w:hint="eastAsia" w:ascii="黑体" w:hAnsi="黑体" w:eastAsia="黑体"/>
        </w:rPr>
        <w:t xml:space="preserve">stabilized fertilizer  </w:t>
      </w:r>
    </w:p>
    <w:p w14:paraId="67127A47">
      <w:pPr>
        <w:pStyle w:val="229"/>
        <w:rPr>
          <w:rFonts w:ascii="Times New Roman"/>
          <w:szCs w:val="21"/>
        </w:rPr>
      </w:pPr>
      <w:r>
        <w:rPr>
          <w:rFonts w:hint="eastAsia" w:ascii="Times New Roman"/>
          <w:szCs w:val="21"/>
        </w:rPr>
        <w:t>在生产中同时加入脲酶抑制剂和硝化抑制</w:t>
      </w:r>
      <w:r>
        <w:rPr>
          <w:rFonts w:hint="eastAsia" w:ascii="Times New Roman"/>
          <w:color w:val="1D41D5"/>
          <w:szCs w:val="21"/>
        </w:rPr>
        <w:t>剂，且氮源含有尿素的稳定性肥料</w:t>
      </w:r>
      <w:r>
        <w:rPr>
          <w:rFonts w:hint="eastAsia" w:ascii="Times New Roman"/>
          <w:szCs w:val="21"/>
        </w:rPr>
        <w:t>。</w:t>
      </w:r>
    </w:p>
    <w:p w14:paraId="48C606B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脲酶抑制剂</w:t>
      </w:r>
      <w:r>
        <w:rPr>
          <w:rFonts w:hint="eastAsia" w:ascii="黑体" w:hAnsi="黑体" w:eastAsia="黑体"/>
        </w:rPr>
        <w:t xml:space="preserve"> urease inhibitor</w:t>
      </w:r>
    </w:p>
    <w:p w14:paraId="553D3379">
      <w:pPr>
        <w:pStyle w:val="229"/>
        <w:rPr>
          <w:rFonts w:ascii="Times New Roman"/>
          <w:szCs w:val="21"/>
        </w:rPr>
      </w:pPr>
      <w:r>
        <w:rPr>
          <w:rFonts w:hint="eastAsia" w:ascii="Times New Roman"/>
          <w:szCs w:val="21"/>
        </w:rPr>
        <w:t>在一段时间内能通过抑制土壤脲酶的活性，从而减缓尿素水解的一类物质。</w:t>
      </w:r>
    </w:p>
    <w:p w14:paraId="557AE30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硝化抑制剂</w:t>
      </w:r>
      <w:r>
        <w:rPr>
          <w:rFonts w:hint="eastAsia" w:ascii="黑体" w:hAnsi="黑体" w:eastAsia="黑体"/>
        </w:rPr>
        <w:t xml:space="preserve"> nitrification inhibitor</w:t>
      </w:r>
    </w:p>
    <w:p w14:paraId="1D9ED8F7">
      <w:pPr>
        <w:pStyle w:val="229"/>
        <w:rPr>
          <w:rFonts w:ascii="Times New Roman"/>
          <w:szCs w:val="21"/>
        </w:rPr>
      </w:pPr>
      <w:r>
        <w:rPr>
          <w:rFonts w:hint="eastAsia" w:ascii="Times New Roman"/>
          <w:szCs w:val="21"/>
        </w:rPr>
        <w:t>在一段时间内</w:t>
      </w:r>
      <w:r>
        <w:rPr>
          <w:rFonts w:ascii="Helvetica" w:hAnsi="Helvetica" w:eastAsia="Helvetica" w:cs="Helvetica"/>
          <w:szCs w:val="21"/>
          <w:shd w:val="clear" w:color="auto" w:fill="FFFFFF"/>
        </w:rPr>
        <w:t>能选择性地抑</w:t>
      </w:r>
      <w:r>
        <w:rPr>
          <w:rFonts w:hint="eastAsia" w:ascii="Times New Roman"/>
          <w:szCs w:val="21"/>
        </w:rPr>
        <w:t>制土壤中</w:t>
      </w:r>
      <w:r>
        <w:fldChar w:fldCharType="begin"/>
      </w:r>
      <w:r>
        <w:instrText xml:space="preserve"> HYPERLINK "https://baike.baidu.com/item/%E7%A1%9D%E5%8C%96%E7%BB%86%E8%8F%8C/2630694?fromModule=lemma_inlink" \t "https://baike.baidu.com/item/%E7%A1%9D%E5%8C%96%E6%8A%91%E5%88%B6%E5%89%82/_blank" </w:instrText>
      </w:r>
      <w:r>
        <w:fldChar w:fldCharType="separate"/>
      </w:r>
      <w:r>
        <w:rPr>
          <w:rFonts w:ascii="Times New Roman"/>
          <w:szCs w:val="21"/>
        </w:rPr>
        <w:t>硝化细菌</w:t>
      </w:r>
      <w:r>
        <w:rPr>
          <w:rFonts w:ascii="Times New Roman"/>
          <w:szCs w:val="21"/>
        </w:rPr>
        <w:fldChar w:fldCharType="end"/>
      </w:r>
      <w:r>
        <w:rPr>
          <w:rFonts w:ascii="Times New Roman"/>
          <w:szCs w:val="21"/>
        </w:rPr>
        <w:t>的活动</w:t>
      </w:r>
      <w:r>
        <w:rPr>
          <w:rFonts w:hint="eastAsia" w:ascii="Times New Roman"/>
          <w:szCs w:val="21"/>
        </w:rPr>
        <w:t>，从而减缓铵态氮向硝态氮转化的一类物质。</w:t>
      </w:r>
    </w:p>
    <w:p w14:paraId="5F025D8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尿素残留量</w:t>
      </w:r>
      <w:r>
        <w:rPr>
          <w:rFonts w:hint="eastAsia" w:ascii="黑体" w:hAnsi="黑体" w:eastAsia="黑体"/>
        </w:rPr>
        <w:t xml:space="preserve"> residual urea amount</w:t>
      </w:r>
    </w:p>
    <w:p w14:paraId="14F2CFE1">
      <w:pPr>
        <w:pStyle w:val="229"/>
        <w:rPr>
          <w:rFonts w:ascii="Times New Roman"/>
          <w:szCs w:val="21"/>
        </w:rPr>
      </w:pPr>
      <w:r>
        <w:rPr>
          <w:rFonts w:ascii="Times New Roman"/>
          <w:szCs w:val="21"/>
        </w:rPr>
        <w:t>进入土壤中的尿素经过一段时间水解之后的剩余量。</w:t>
      </w:r>
    </w:p>
    <w:p w14:paraId="3219423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基础肥料</w:t>
      </w:r>
      <w:r>
        <w:rPr>
          <w:rFonts w:hint="eastAsia" w:ascii="黑体" w:hAnsi="黑体" w:eastAsia="黑体"/>
        </w:rPr>
        <w:t xml:space="preserve"> basic fertilizer</w:t>
      </w:r>
    </w:p>
    <w:p w14:paraId="42D1F424">
      <w:pPr>
        <w:pStyle w:val="229"/>
        <w:rPr>
          <w:rFonts w:ascii="Times New Roman"/>
          <w:szCs w:val="21"/>
        </w:rPr>
      </w:pPr>
      <w:r>
        <w:rPr>
          <w:rFonts w:hint="eastAsia" w:ascii="Times New Roman"/>
          <w:szCs w:val="21"/>
        </w:rPr>
        <w:t>稳定性肥料中除脲酶抑制剂和硝化抑制剂以外，其余部分成分相等的肥料。</w:t>
      </w:r>
    </w:p>
    <w:p w14:paraId="3563CDF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尿素残留差异率</w:t>
      </w:r>
      <w:r>
        <w:rPr>
          <w:rFonts w:hint="eastAsia" w:ascii="黑体" w:hAnsi="黑体" w:eastAsia="黑体"/>
        </w:rPr>
        <w:t xml:space="preserve"> </w:t>
      </w:r>
      <w:r>
        <w:rPr>
          <w:rFonts w:ascii="黑体" w:hAnsi="黑体" w:eastAsia="黑体"/>
        </w:rPr>
        <w:t>r</w:t>
      </w:r>
      <w:r>
        <w:rPr>
          <w:rFonts w:hint="eastAsia" w:ascii="黑体" w:hAnsi="黑体" w:eastAsia="黑体"/>
        </w:rPr>
        <w:t>esidual urea variance rate</w:t>
      </w:r>
    </w:p>
    <w:p w14:paraId="415E8B0D">
      <w:pPr>
        <w:pStyle w:val="56"/>
        <w:ind w:firstLine="420"/>
      </w:pPr>
      <w:r>
        <w:rPr>
          <w:rFonts w:hint="eastAsia"/>
        </w:rPr>
        <w:t>在一段时间内含脲酶抑制剂的稳定性肥料</w:t>
      </w:r>
      <w:r>
        <w:rPr>
          <w:rFonts w:hint="eastAsia"/>
          <w:color w:val="1D41D5"/>
        </w:rPr>
        <w:t>（试样）</w:t>
      </w:r>
      <w:r>
        <w:rPr>
          <w:rFonts w:hint="eastAsia"/>
        </w:rPr>
        <w:t>尿素残留量与不含脲酶抑制剂的对照样品尿素残留量的差值与</w:t>
      </w:r>
      <w:r>
        <w:rPr>
          <w:rFonts w:hint="eastAsia"/>
          <w:color w:val="1D41D5"/>
        </w:rPr>
        <w:t>试样尿素残留量</w:t>
      </w:r>
      <w:r>
        <w:rPr>
          <w:rFonts w:hint="eastAsia"/>
        </w:rPr>
        <w:t>之百分比。</w:t>
      </w:r>
    </w:p>
    <w:p w14:paraId="7F9F4E5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cs="黑体"/>
        </w:rPr>
        <w:t>硝化潜势差异率</w:t>
      </w:r>
      <w:r>
        <w:rPr>
          <w:rFonts w:hint="eastAsia" w:ascii="黑体" w:hAnsi="黑体" w:eastAsia="黑体"/>
        </w:rPr>
        <w:t xml:space="preserve">  nitrification potential variance rate</w:t>
      </w:r>
    </w:p>
    <w:p w14:paraId="42ADFF8D">
      <w:pPr>
        <w:pStyle w:val="56"/>
        <w:ind w:firstLine="420"/>
        <w:rPr>
          <w:snapToGrid w:val="0"/>
        </w:rPr>
      </w:pPr>
      <w:r>
        <w:rPr>
          <w:rFonts w:hint="eastAsia"/>
          <w:snapToGrid w:val="0"/>
        </w:rPr>
        <w:t>在一定培养时间内，等氮量对照样品与含硝化抑制剂的稳定性肥料</w:t>
      </w:r>
      <w:r>
        <w:rPr>
          <w:rFonts w:hint="eastAsia"/>
          <w:snapToGrid w:val="0"/>
          <w:color w:val="1552D1"/>
        </w:rPr>
        <w:t>（试样）</w:t>
      </w:r>
      <w:r>
        <w:rPr>
          <w:rFonts w:hint="eastAsia"/>
          <w:snapToGrid w:val="0"/>
        </w:rPr>
        <w:t>在土壤中形成的</w:t>
      </w:r>
      <w:r>
        <w:rPr>
          <w:rFonts w:hint="eastAsia"/>
          <w:color w:val="0000FF"/>
        </w:rPr>
        <w:t>硝化潜势</w:t>
      </w:r>
      <w:r>
        <w:rPr>
          <w:rFonts w:hint="eastAsia"/>
          <w:snapToGrid w:val="0"/>
        </w:rPr>
        <w:t>之差，与对照样品形成的</w:t>
      </w:r>
      <w:r>
        <w:rPr>
          <w:rFonts w:hint="eastAsia"/>
          <w:color w:val="0000FF"/>
        </w:rPr>
        <w:t>硝化潜势</w:t>
      </w:r>
      <w:r>
        <w:rPr>
          <w:rFonts w:hint="eastAsia"/>
          <w:snapToGrid w:val="0"/>
        </w:rPr>
        <w:t>之百分比。</w:t>
      </w:r>
    </w:p>
    <w:p w14:paraId="24105DC1">
      <w:pPr>
        <w:pStyle w:val="223"/>
        <w:ind w:left="420" w:hanging="420" w:hangingChars="200"/>
        <w:rPr>
          <w:rFonts w:ascii="黑体" w:hAnsi="黑体" w:eastAsia="黑体"/>
        </w:rPr>
      </w:pPr>
    </w:p>
    <w:p w14:paraId="61CF354D">
      <w:pPr>
        <w:pStyle w:val="223"/>
        <w:numPr>
          <w:ilvl w:val="0"/>
          <w:numId w:val="0"/>
        </w:numPr>
        <w:ind w:left="420"/>
        <w:rPr>
          <w:rFonts w:ascii="黑体" w:hAnsi="黑体" w:eastAsia="黑体"/>
        </w:rPr>
      </w:pPr>
      <w:r>
        <w:rPr>
          <w:rFonts w:hint="eastAsia" w:ascii="黑体" w:hAnsi="黑体" w:eastAsia="黑体"/>
        </w:rPr>
        <w:t xml:space="preserve">正丁基硫代磷酰三胺 </w:t>
      </w:r>
      <w:r>
        <w:rPr>
          <w:rFonts w:ascii="黑体" w:hAnsi="黑体" w:eastAsia="黑体"/>
        </w:rPr>
        <w:t>N-(n-butyl)thiophosphoric triamide</w:t>
      </w:r>
      <w:r>
        <w:rPr>
          <w:rFonts w:hint="eastAsia" w:ascii="黑体" w:hAnsi="黑体" w:eastAsia="黑体"/>
        </w:rPr>
        <w:t>；N</w:t>
      </w:r>
      <w:r>
        <w:rPr>
          <w:rFonts w:ascii="黑体" w:hAnsi="黑体" w:eastAsia="黑体"/>
        </w:rPr>
        <w:t>BPT</w:t>
      </w:r>
    </w:p>
    <w:p w14:paraId="6185EB7D">
      <w:pPr>
        <w:pStyle w:val="56"/>
        <w:ind w:firstLine="420"/>
      </w:pPr>
      <w:r>
        <w:rPr>
          <w:rFonts w:hint="eastAsia"/>
        </w:rPr>
        <w:t>一种脲酶抑制剂，外观为白色结晶固体。</w:t>
      </w:r>
      <w:r>
        <w:t xml:space="preserve"> </w:t>
      </w:r>
    </w:p>
    <w:p w14:paraId="019794FA">
      <w:pPr>
        <w:pStyle w:val="179"/>
      </w:pPr>
      <w:r>
        <w:rPr>
          <w:rFonts w:hint="eastAsia"/>
        </w:rPr>
        <w:t>美国化学文摘登记</w:t>
      </w:r>
      <w:r>
        <w:t>CAS</w:t>
      </w:r>
      <w:r>
        <w:rPr>
          <w:rFonts w:hint="eastAsia"/>
        </w:rPr>
        <w:t>号</w:t>
      </w:r>
      <w:r>
        <w:t xml:space="preserve"> 94317-64-3</w:t>
      </w:r>
      <w:r>
        <w:rPr>
          <w:rFonts w:hint="eastAsia"/>
        </w:rPr>
        <w:t>。</w:t>
      </w:r>
      <w:r>
        <w:t xml:space="preserve"> </w:t>
      </w:r>
    </w:p>
    <w:p w14:paraId="3FB1EE2B">
      <w:pPr>
        <w:pStyle w:val="223"/>
        <w:ind w:left="420" w:hanging="420" w:hangingChars="200"/>
        <w:rPr>
          <w:rFonts w:ascii="黑体" w:hAnsi="黑体" w:eastAsia="黑体"/>
        </w:rPr>
      </w:pPr>
    </w:p>
    <w:p w14:paraId="0A677326">
      <w:pPr>
        <w:pStyle w:val="223"/>
        <w:numPr>
          <w:ilvl w:val="0"/>
          <w:numId w:val="0"/>
        </w:numPr>
        <w:ind w:left="420"/>
        <w:rPr>
          <w:rFonts w:ascii="黑体" w:hAnsi="黑体" w:eastAsia="黑体"/>
        </w:rPr>
      </w:pPr>
      <w:r>
        <w:rPr>
          <w:rFonts w:hint="eastAsia" w:ascii="黑体" w:hAnsi="黑体" w:eastAsia="黑体"/>
        </w:rPr>
        <w:t>双氰胺</w:t>
      </w:r>
      <w:r>
        <w:rPr>
          <w:rFonts w:ascii="黑体" w:hAnsi="黑体" w:eastAsia="黑体"/>
        </w:rPr>
        <w:t xml:space="preserve"> dicyandiamide</w:t>
      </w:r>
      <w:r>
        <w:rPr>
          <w:rFonts w:hint="eastAsia" w:ascii="黑体" w:hAnsi="黑体" w:eastAsia="黑体"/>
        </w:rPr>
        <w:t>；</w:t>
      </w:r>
      <w:r>
        <w:rPr>
          <w:rFonts w:ascii="黑体" w:hAnsi="黑体" w:eastAsia="黑体"/>
        </w:rPr>
        <w:t xml:space="preserve">DCD </w:t>
      </w:r>
    </w:p>
    <w:p w14:paraId="628ACB06">
      <w:pPr>
        <w:pStyle w:val="56"/>
        <w:ind w:firstLine="420"/>
      </w:pPr>
      <w:r>
        <w:rPr>
          <w:rFonts w:hint="eastAsia"/>
        </w:rPr>
        <w:t>一种硝化抑制剂，同时也是一种缓释氮源，外观为白色结晶粉末。</w:t>
      </w:r>
      <w:r>
        <w:t xml:space="preserve"> </w:t>
      </w:r>
    </w:p>
    <w:p w14:paraId="19245F3C">
      <w:pPr>
        <w:pStyle w:val="179"/>
      </w:pPr>
      <w:r>
        <w:t>C</w:t>
      </w:r>
      <w:r>
        <w:rPr>
          <w:vertAlign w:val="subscript"/>
        </w:rPr>
        <w:t>2</w:t>
      </w:r>
      <w:r>
        <w:t>H</w:t>
      </w:r>
      <w:r>
        <w:rPr>
          <w:vertAlign w:val="subscript"/>
        </w:rPr>
        <w:t>4</w:t>
      </w:r>
      <w:r>
        <w:t>N</w:t>
      </w:r>
      <w:r>
        <w:rPr>
          <w:vertAlign w:val="subscript"/>
        </w:rPr>
        <w:t>4</w:t>
      </w:r>
      <w:r>
        <w:rPr>
          <w:rFonts w:hint="eastAsia"/>
        </w:rPr>
        <w:t>（美国化学文摘登记</w:t>
      </w:r>
      <w:r>
        <w:t>CAS</w:t>
      </w:r>
      <w:r>
        <w:rPr>
          <w:rFonts w:hint="eastAsia"/>
        </w:rPr>
        <w:t>号</w:t>
      </w:r>
      <w:r>
        <w:t xml:space="preserve"> 461-58-5</w:t>
      </w:r>
      <w:r>
        <w:rPr>
          <w:rFonts w:hint="eastAsia"/>
        </w:rPr>
        <w:t>）。</w:t>
      </w:r>
      <w:r>
        <w:t xml:space="preserve"> </w:t>
      </w:r>
    </w:p>
    <w:p w14:paraId="2031A45D">
      <w:pPr>
        <w:pStyle w:val="223"/>
        <w:ind w:left="420" w:hanging="420" w:hangingChars="200"/>
        <w:rPr>
          <w:rFonts w:ascii="黑体" w:hAnsi="黑体" w:eastAsia="黑体"/>
        </w:rPr>
      </w:pPr>
    </w:p>
    <w:p w14:paraId="0F522F82">
      <w:pPr>
        <w:pStyle w:val="223"/>
        <w:numPr>
          <w:ilvl w:val="0"/>
          <w:numId w:val="0"/>
        </w:numPr>
        <w:ind w:firstLine="420" w:firstLineChars="200"/>
        <w:rPr>
          <w:szCs w:val="21"/>
        </w:rPr>
      </w:pPr>
      <w:r>
        <w:rPr>
          <w:rFonts w:hint="eastAsia" w:ascii="黑体" w:hAnsi="黑体" w:eastAsia="黑体" w:cs="黑体"/>
        </w:rPr>
        <w:t>3,4-二甲基吡唑磷酸盐</w:t>
      </w:r>
      <w:r>
        <w:rPr>
          <w:rFonts w:hint="eastAsia" w:ascii="黑体"/>
          <w:szCs w:val="21"/>
        </w:rPr>
        <w:t xml:space="preserve">  </w:t>
      </w:r>
      <w:r>
        <w:rPr>
          <w:rFonts w:ascii="黑体"/>
          <w:szCs w:val="21"/>
        </w:rPr>
        <w:t>3,4-Dimethylpyrazole phosphate</w:t>
      </w:r>
      <w:r>
        <w:rPr>
          <w:rFonts w:hint="eastAsia" w:ascii="黑体"/>
          <w:szCs w:val="21"/>
        </w:rPr>
        <w:t>；</w:t>
      </w:r>
      <w:r>
        <w:rPr>
          <w:szCs w:val="21"/>
        </w:rPr>
        <w:t>DMPP</w:t>
      </w:r>
    </w:p>
    <w:p w14:paraId="3AFB2AB8">
      <w:pPr>
        <w:pStyle w:val="56"/>
        <w:ind w:firstLine="420"/>
      </w:pPr>
      <w:r>
        <w:rPr>
          <w:rFonts w:hint="eastAsia"/>
        </w:rPr>
        <w:t>一种硝化抑制剂，外观为</w:t>
      </w:r>
      <w:r>
        <w:rPr>
          <w:rFonts w:ascii="Segoe UI" w:hAnsi="Segoe UI" w:cs="Segoe UI"/>
          <w:shd w:val="clear" w:color="auto" w:fill="FFFFFF"/>
        </w:rPr>
        <w:t>黄色或白色结晶粉末状物质</w:t>
      </w:r>
      <w:r>
        <w:rPr>
          <w:rFonts w:hint="eastAsia"/>
        </w:rPr>
        <w:t>。</w:t>
      </w:r>
      <w:r>
        <w:t xml:space="preserve"> </w:t>
      </w:r>
    </w:p>
    <w:p w14:paraId="03E161F0">
      <w:pPr>
        <w:pStyle w:val="179"/>
      </w:pPr>
      <w:r>
        <w:rPr>
          <w:rFonts w:hint="eastAsia"/>
          <w:shd w:val="clear" w:color="auto" w:fill="FFFFFF"/>
        </w:rPr>
        <w:t>C</w:t>
      </w:r>
      <w:r>
        <w:rPr>
          <w:rFonts w:hint="eastAsia"/>
          <w:shd w:val="clear" w:color="auto" w:fill="FFFFFF"/>
          <w:vertAlign w:val="subscript"/>
        </w:rPr>
        <w:t>5</w:t>
      </w:r>
      <w:r>
        <w:rPr>
          <w:rFonts w:hint="eastAsia"/>
          <w:shd w:val="clear" w:color="auto" w:fill="FFFFFF"/>
        </w:rPr>
        <w:t>H</w:t>
      </w:r>
      <w:r>
        <w:rPr>
          <w:rFonts w:hint="eastAsia"/>
          <w:shd w:val="clear" w:color="auto" w:fill="FFFFFF"/>
          <w:vertAlign w:val="subscript"/>
        </w:rPr>
        <w:t>11</w:t>
      </w:r>
      <w:r>
        <w:rPr>
          <w:rFonts w:hint="eastAsia"/>
          <w:shd w:val="clear" w:color="auto" w:fill="FFFFFF"/>
        </w:rPr>
        <w:t>N</w:t>
      </w:r>
      <w:r>
        <w:rPr>
          <w:rFonts w:hint="eastAsia"/>
          <w:shd w:val="clear" w:color="auto" w:fill="FFFFFF"/>
          <w:vertAlign w:val="subscript"/>
        </w:rPr>
        <w:t>2</w:t>
      </w:r>
      <w:r>
        <w:rPr>
          <w:rFonts w:hint="eastAsia"/>
          <w:shd w:val="clear" w:color="auto" w:fill="FFFFFF"/>
        </w:rPr>
        <w:t>O</w:t>
      </w:r>
      <w:r>
        <w:rPr>
          <w:rFonts w:hint="eastAsia"/>
          <w:shd w:val="clear" w:color="auto" w:fill="FFFFFF"/>
          <w:vertAlign w:val="subscript"/>
        </w:rPr>
        <w:t>4</w:t>
      </w:r>
      <w:r>
        <w:rPr>
          <w:rFonts w:hint="eastAsia"/>
          <w:shd w:val="clear" w:color="auto" w:fill="FFFFFF"/>
        </w:rPr>
        <w:t>P</w:t>
      </w:r>
      <w:r>
        <w:rPr>
          <w:rFonts w:hint="eastAsia"/>
        </w:rPr>
        <w:t>（美国化学文摘登记CAS号 202842-98-6）。</w:t>
      </w:r>
    </w:p>
    <w:p w14:paraId="28144469">
      <w:pPr>
        <w:pStyle w:val="104"/>
        <w:spacing w:before="312" w:after="312"/>
      </w:pPr>
      <w:bookmarkStart w:id="52" w:name="_Toc231994834"/>
      <w:bookmarkStart w:id="53" w:name="_Toc231994770"/>
      <w:r>
        <w:rPr>
          <w:rFonts w:hint="eastAsia"/>
        </w:rPr>
        <w:t>要求</w:t>
      </w:r>
      <w:bookmarkEnd w:id="52"/>
      <w:bookmarkEnd w:id="53"/>
    </w:p>
    <w:p w14:paraId="6DBBB95A">
      <w:pPr>
        <w:pStyle w:val="162"/>
      </w:pPr>
      <w:r>
        <w:rPr>
          <w:rFonts w:hint="eastAsia"/>
        </w:rPr>
        <w:t>外观：颗粒状、粉状或液体，无机械杂质。</w:t>
      </w:r>
    </w:p>
    <w:p w14:paraId="3AE23B5A">
      <w:pPr>
        <w:pStyle w:val="162"/>
        <w:rPr>
          <w:color w:val="1D41D5"/>
        </w:rPr>
      </w:pPr>
      <w:r>
        <w:rPr>
          <w:rFonts w:hint="eastAsia"/>
        </w:rPr>
        <w:t>产品应符合</w:t>
      </w:r>
      <w:r>
        <w:rPr>
          <w:rFonts w:hint="eastAsia"/>
          <w:color w:val="0000FF"/>
        </w:rPr>
        <w:t>表1功能</w:t>
      </w:r>
      <w:r>
        <w:rPr>
          <w:rFonts w:hint="eastAsia"/>
          <w:color w:val="0000FF"/>
          <w:lang w:val="en-US" w:eastAsia="zh-CN"/>
        </w:rPr>
        <w:t>指标的</w:t>
      </w:r>
      <w:r>
        <w:rPr>
          <w:rFonts w:hint="eastAsia"/>
          <w:color w:val="0000FF"/>
        </w:rPr>
        <w:t>要求</w:t>
      </w:r>
      <w:r>
        <w:rPr>
          <w:rFonts w:hint="eastAsia"/>
          <w:b/>
          <w:bCs/>
          <w:color w:val="0000FF"/>
        </w:rPr>
        <w:t>或</w:t>
      </w:r>
      <w:r>
        <w:rPr>
          <w:rFonts w:hint="eastAsia"/>
          <w:color w:val="0000FF"/>
          <w:lang w:val="en-US" w:eastAsia="zh-CN"/>
        </w:rPr>
        <w:t>表2</w:t>
      </w:r>
      <w:r>
        <w:rPr>
          <w:rFonts w:hint="eastAsia"/>
          <w:color w:val="0000FF"/>
        </w:rPr>
        <w:t>含量</w:t>
      </w:r>
      <w:r>
        <w:rPr>
          <w:rFonts w:hint="eastAsia"/>
          <w:color w:val="0000FF"/>
          <w:lang w:val="en-US" w:eastAsia="zh-CN"/>
        </w:rPr>
        <w:t>指标</w:t>
      </w:r>
      <w:r>
        <w:rPr>
          <w:rFonts w:hint="eastAsia"/>
        </w:rPr>
        <w:t>要求，同时应符合相应的基础肥料国家标准或者行业标准要求和包装容器上的标明值。</w:t>
      </w:r>
      <w:r>
        <w:rPr>
          <w:rFonts w:hint="eastAsia"/>
          <w:color w:val="1D41D5"/>
        </w:rPr>
        <w:t>功能指标为通用指标</w:t>
      </w:r>
      <w:r>
        <w:rPr>
          <w:rFonts w:hint="eastAsia"/>
          <w:color w:val="1D41D5"/>
          <w:lang w:val="en-US" w:eastAsia="zh-CN"/>
        </w:rPr>
        <w:t>和仲裁指标</w:t>
      </w:r>
      <w:r>
        <w:rPr>
          <w:rFonts w:hint="eastAsia"/>
          <w:color w:val="1D41D5"/>
        </w:rPr>
        <w:t>，只要功能指标达标，无论使用何种抑制剂，均可以判定为</w:t>
      </w:r>
      <w:r>
        <w:rPr>
          <w:rFonts w:hint="eastAsia"/>
          <w:color w:val="1D41D5"/>
          <w:lang w:val="en-US" w:eastAsia="zh-CN"/>
        </w:rPr>
        <w:t>合格产品</w:t>
      </w:r>
      <w:r>
        <w:rPr>
          <w:rFonts w:hint="eastAsia"/>
          <w:color w:val="1D41D5"/>
          <w:lang w:eastAsia="zh-CN"/>
        </w:rPr>
        <w:t>，</w:t>
      </w:r>
      <w:r>
        <w:rPr>
          <w:rFonts w:hint="eastAsia" w:hAnsi="宋体" w:cs="宋体"/>
          <w:color w:val="1D41D5"/>
          <w:szCs w:val="21"/>
        </w:rPr>
        <w:t>产品抑制功能最终以尿素残留差异率和硝化潜势差异率为仲裁标准</w:t>
      </w:r>
      <w:r>
        <w:rPr>
          <w:rFonts w:hint="eastAsia"/>
          <w:color w:val="1D41D5"/>
        </w:rPr>
        <w:t>。含量指标为快速判定指标，含量指标达标也可判定为合格</w:t>
      </w:r>
      <w:r>
        <w:rPr>
          <w:rFonts w:hint="eastAsia"/>
          <w:color w:val="1D41D5"/>
          <w:lang w:val="en-US" w:eastAsia="zh-CN"/>
        </w:rPr>
        <w:t>产品</w:t>
      </w:r>
      <w:r>
        <w:rPr>
          <w:rFonts w:hint="eastAsia"/>
          <w:color w:val="1D41D5"/>
        </w:rPr>
        <w:t>。</w:t>
      </w:r>
    </w:p>
    <w:p w14:paraId="66FA4006">
      <w:pPr>
        <w:pStyle w:val="112"/>
        <w:spacing w:before="156" w:after="156"/>
        <w:rPr>
          <w:color w:val="0000FF"/>
        </w:rPr>
      </w:pPr>
      <w:r>
        <w:rPr>
          <w:rFonts w:hint="eastAsia"/>
        </w:rPr>
        <w:t>稳定性肥料的</w:t>
      </w:r>
      <w:r>
        <w:rPr>
          <w:rFonts w:hint="eastAsia"/>
          <w:color w:val="0000FF"/>
          <w:lang w:val="en-US" w:eastAsia="zh-CN"/>
        </w:rPr>
        <w:t>功能</w:t>
      </w:r>
      <w:r>
        <w:rPr>
          <w:rFonts w:hint="eastAsia"/>
          <w:color w:val="0000FF"/>
        </w:rPr>
        <w:t>技术要求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4526"/>
        <w:gridCol w:w="1568"/>
        <w:gridCol w:w="1605"/>
        <w:gridCol w:w="1635"/>
      </w:tblGrid>
      <w:tr w14:paraId="49225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4526" w:type="dxa"/>
            <w:vMerge w:val="restart"/>
            <w:tcBorders>
              <w:top w:val="single" w:color="auto" w:sz="8" w:space="0"/>
            </w:tcBorders>
            <w:shd w:val="clear" w:color="auto" w:fill="auto"/>
            <w:vAlign w:val="center"/>
          </w:tcPr>
          <w:p w14:paraId="45F3E154">
            <w:pPr>
              <w:pStyle w:val="178"/>
              <w:rPr>
                <w:sz w:val="15"/>
                <w:szCs w:val="16"/>
              </w:rPr>
            </w:pPr>
            <w:r>
              <w:rPr>
                <w:rFonts w:hint="eastAsia"/>
                <w:sz w:val="15"/>
                <w:szCs w:val="16"/>
              </w:rPr>
              <w:t>项目</w:t>
            </w:r>
          </w:p>
        </w:tc>
        <w:tc>
          <w:tcPr>
            <w:tcW w:w="4808" w:type="dxa"/>
            <w:gridSpan w:val="3"/>
            <w:tcBorders>
              <w:top w:val="single" w:color="auto" w:sz="8" w:space="0"/>
              <w:bottom w:val="single" w:color="auto" w:sz="8" w:space="0"/>
            </w:tcBorders>
            <w:shd w:val="clear" w:color="auto" w:fill="auto"/>
            <w:vAlign w:val="center"/>
          </w:tcPr>
          <w:p w14:paraId="645E8844">
            <w:pPr>
              <w:pStyle w:val="178"/>
              <w:rPr>
                <w:sz w:val="15"/>
                <w:szCs w:val="16"/>
              </w:rPr>
            </w:pPr>
            <w:r>
              <w:rPr>
                <w:rFonts w:hint="eastAsia"/>
                <w:sz w:val="15"/>
                <w:szCs w:val="16"/>
              </w:rPr>
              <w:t>指标</w:t>
            </w:r>
          </w:p>
        </w:tc>
      </w:tr>
      <w:tr w14:paraId="3D570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vMerge w:val="continue"/>
            <w:shd w:val="clear" w:color="auto" w:fill="auto"/>
            <w:vAlign w:val="center"/>
          </w:tcPr>
          <w:p w14:paraId="3A405E3F">
            <w:pPr>
              <w:pStyle w:val="178"/>
              <w:rPr>
                <w:sz w:val="15"/>
                <w:szCs w:val="16"/>
              </w:rPr>
            </w:pPr>
          </w:p>
        </w:tc>
        <w:tc>
          <w:tcPr>
            <w:tcW w:w="1568" w:type="dxa"/>
            <w:tcBorders>
              <w:top w:val="single" w:color="auto" w:sz="8" w:space="0"/>
            </w:tcBorders>
            <w:shd w:val="clear" w:color="auto" w:fill="auto"/>
            <w:vAlign w:val="center"/>
          </w:tcPr>
          <w:p w14:paraId="0EADF4CB">
            <w:pPr>
              <w:pStyle w:val="178"/>
              <w:rPr>
                <w:sz w:val="15"/>
                <w:szCs w:val="16"/>
              </w:rPr>
            </w:pPr>
            <w:r>
              <w:rPr>
                <w:rFonts w:hint="eastAsia"/>
                <w:sz w:val="15"/>
                <w:szCs w:val="16"/>
              </w:rPr>
              <w:t>脲酶抑制型</w:t>
            </w:r>
          </w:p>
          <w:p w14:paraId="616601FD">
            <w:pPr>
              <w:pStyle w:val="178"/>
              <w:rPr>
                <w:sz w:val="15"/>
                <w:szCs w:val="16"/>
              </w:rPr>
            </w:pPr>
            <w:r>
              <w:rPr>
                <w:rFonts w:hint="eastAsia"/>
                <w:sz w:val="15"/>
                <w:szCs w:val="16"/>
              </w:rPr>
              <w:t>（稳定性肥料Ⅰ型）</w:t>
            </w:r>
          </w:p>
        </w:tc>
        <w:tc>
          <w:tcPr>
            <w:tcW w:w="1605" w:type="dxa"/>
            <w:tcBorders>
              <w:top w:val="single" w:color="auto" w:sz="8" w:space="0"/>
            </w:tcBorders>
            <w:shd w:val="clear" w:color="auto" w:fill="auto"/>
          </w:tcPr>
          <w:p w14:paraId="6BAB1ACE">
            <w:pPr>
              <w:pStyle w:val="178"/>
              <w:rPr>
                <w:sz w:val="15"/>
                <w:szCs w:val="16"/>
              </w:rPr>
            </w:pPr>
            <w:r>
              <w:rPr>
                <w:rFonts w:hint="eastAsia"/>
                <w:sz w:val="15"/>
                <w:szCs w:val="16"/>
              </w:rPr>
              <w:t>硝化抑制型</w:t>
            </w:r>
          </w:p>
          <w:p w14:paraId="66BCC6DA">
            <w:pPr>
              <w:pStyle w:val="178"/>
              <w:rPr>
                <w:sz w:val="15"/>
                <w:szCs w:val="16"/>
              </w:rPr>
            </w:pPr>
            <w:r>
              <w:rPr>
                <w:rFonts w:hint="eastAsia"/>
                <w:sz w:val="15"/>
                <w:szCs w:val="16"/>
              </w:rPr>
              <w:t>（稳定性肥料Ⅱ型）</w:t>
            </w:r>
          </w:p>
        </w:tc>
        <w:tc>
          <w:tcPr>
            <w:tcW w:w="1635" w:type="dxa"/>
            <w:tcBorders>
              <w:top w:val="single" w:color="auto" w:sz="8" w:space="0"/>
            </w:tcBorders>
            <w:shd w:val="clear" w:color="auto" w:fill="auto"/>
          </w:tcPr>
          <w:p w14:paraId="7B88A640">
            <w:pPr>
              <w:pStyle w:val="178"/>
              <w:rPr>
                <w:sz w:val="15"/>
                <w:szCs w:val="16"/>
              </w:rPr>
            </w:pPr>
            <w:r>
              <w:rPr>
                <w:rFonts w:hint="eastAsia"/>
                <w:sz w:val="15"/>
                <w:szCs w:val="16"/>
              </w:rPr>
              <w:t>复合型</w:t>
            </w:r>
          </w:p>
          <w:p w14:paraId="6484BEE4">
            <w:pPr>
              <w:pStyle w:val="178"/>
              <w:rPr>
                <w:sz w:val="15"/>
                <w:szCs w:val="16"/>
              </w:rPr>
            </w:pPr>
            <w:r>
              <w:rPr>
                <w:rFonts w:hint="eastAsia"/>
                <w:sz w:val="15"/>
                <w:szCs w:val="16"/>
              </w:rPr>
              <w:t>（稳定性肥料Ⅲ型）</w:t>
            </w:r>
          </w:p>
        </w:tc>
      </w:tr>
      <w:tr w14:paraId="1517B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shd w:val="clear" w:color="auto" w:fill="auto"/>
            <w:vAlign w:val="center"/>
          </w:tcPr>
          <w:p w14:paraId="23463D76">
            <w:pPr>
              <w:pStyle w:val="178"/>
              <w:rPr>
                <w:sz w:val="15"/>
                <w:szCs w:val="16"/>
              </w:rPr>
            </w:pPr>
            <w:r>
              <w:rPr>
                <w:rFonts w:hint="eastAsia"/>
                <w:sz w:val="15"/>
                <w:szCs w:val="16"/>
              </w:rPr>
              <w:t>尿素残留差异率，%</w:t>
            </w:r>
            <w:r>
              <w:rPr>
                <w:sz w:val="15"/>
                <w:szCs w:val="16"/>
              </w:rPr>
              <w:t xml:space="preserve">              </w:t>
            </w:r>
            <w:r>
              <w:rPr>
                <w:rFonts w:hint="eastAsia"/>
                <w:sz w:val="15"/>
                <w:szCs w:val="16"/>
              </w:rPr>
              <w:t>≥</w:t>
            </w:r>
          </w:p>
        </w:tc>
        <w:tc>
          <w:tcPr>
            <w:tcW w:w="1568" w:type="dxa"/>
            <w:shd w:val="clear" w:color="auto" w:fill="auto"/>
          </w:tcPr>
          <w:p w14:paraId="5FFDDBF8">
            <w:pPr>
              <w:pStyle w:val="178"/>
              <w:rPr>
                <w:sz w:val="15"/>
                <w:szCs w:val="16"/>
              </w:rPr>
            </w:pPr>
            <w:r>
              <w:rPr>
                <w:rFonts w:hint="eastAsia"/>
                <w:sz w:val="15"/>
                <w:szCs w:val="16"/>
              </w:rPr>
              <w:t>2</w:t>
            </w:r>
            <w:r>
              <w:rPr>
                <w:sz w:val="15"/>
                <w:szCs w:val="16"/>
              </w:rPr>
              <w:t>5</w:t>
            </w:r>
          </w:p>
        </w:tc>
        <w:tc>
          <w:tcPr>
            <w:tcW w:w="1605" w:type="dxa"/>
            <w:shd w:val="clear" w:color="auto" w:fill="auto"/>
          </w:tcPr>
          <w:p w14:paraId="7E95BFFB">
            <w:pPr>
              <w:pStyle w:val="178"/>
              <w:rPr>
                <w:sz w:val="15"/>
                <w:szCs w:val="16"/>
              </w:rPr>
            </w:pPr>
            <w:r>
              <w:rPr>
                <w:rFonts w:hint="eastAsia"/>
                <w:sz w:val="15"/>
                <w:szCs w:val="16"/>
              </w:rPr>
              <w:t>—</w:t>
            </w:r>
          </w:p>
        </w:tc>
        <w:tc>
          <w:tcPr>
            <w:tcW w:w="1635" w:type="dxa"/>
            <w:shd w:val="clear" w:color="auto" w:fill="auto"/>
          </w:tcPr>
          <w:p w14:paraId="289C02F1">
            <w:pPr>
              <w:pStyle w:val="178"/>
              <w:rPr>
                <w:sz w:val="15"/>
                <w:szCs w:val="16"/>
              </w:rPr>
            </w:pPr>
            <w:r>
              <w:rPr>
                <w:sz w:val="15"/>
                <w:szCs w:val="16"/>
              </w:rPr>
              <w:t>25</w:t>
            </w:r>
          </w:p>
        </w:tc>
      </w:tr>
      <w:tr w14:paraId="430651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shd w:val="clear" w:color="auto" w:fill="auto"/>
            <w:vAlign w:val="center"/>
          </w:tcPr>
          <w:p w14:paraId="520DF51A">
            <w:pPr>
              <w:pStyle w:val="178"/>
              <w:rPr>
                <w:sz w:val="15"/>
                <w:szCs w:val="16"/>
              </w:rPr>
            </w:pPr>
            <w:r>
              <w:rPr>
                <w:rFonts w:hint="eastAsia"/>
                <w:sz w:val="15"/>
                <w:szCs w:val="16"/>
              </w:rPr>
              <w:t xml:space="preserve">硝化潜势差异率，% </w:t>
            </w:r>
            <w:r>
              <w:rPr>
                <w:sz w:val="15"/>
                <w:szCs w:val="16"/>
              </w:rPr>
              <w:t xml:space="preserve">             </w:t>
            </w:r>
            <w:r>
              <w:rPr>
                <w:rFonts w:hint="eastAsia"/>
                <w:sz w:val="15"/>
                <w:szCs w:val="16"/>
              </w:rPr>
              <w:t>≥</w:t>
            </w:r>
          </w:p>
        </w:tc>
        <w:tc>
          <w:tcPr>
            <w:tcW w:w="1568" w:type="dxa"/>
            <w:shd w:val="clear" w:color="auto" w:fill="auto"/>
          </w:tcPr>
          <w:p w14:paraId="12B57E2A">
            <w:pPr>
              <w:pStyle w:val="178"/>
              <w:rPr>
                <w:sz w:val="15"/>
                <w:szCs w:val="16"/>
              </w:rPr>
            </w:pPr>
            <w:r>
              <w:rPr>
                <w:rFonts w:hint="eastAsia"/>
                <w:sz w:val="15"/>
                <w:szCs w:val="16"/>
              </w:rPr>
              <w:t>—</w:t>
            </w:r>
          </w:p>
        </w:tc>
        <w:tc>
          <w:tcPr>
            <w:tcW w:w="1605" w:type="dxa"/>
            <w:shd w:val="clear" w:color="auto" w:fill="auto"/>
          </w:tcPr>
          <w:p w14:paraId="4AC279DE">
            <w:pPr>
              <w:pStyle w:val="178"/>
              <w:rPr>
                <w:sz w:val="15"/>
                <w:szCs w:val="16"/>
              </w:rPr>
            </w:pPr>
            <w:r>
              <w:rPr>
                <w:sz w:val="15"/>
                <w:szCs w:val="16"/>
              </w:rPr>
              <w:t>10</w:t>
            </w:r>
          </w:p>
        </w:tc>
        <w:tc>
          <w:tcPr>
            <w:tcW w:w="1635" w:type="dxa"/>
            <w:shd w:val="clear" w:color="auto" w:fill="auto"/>
          </w:tcPr>
          <w:p w14:paraId="2312CA75">
            <w:pPr>
              <w:pStyle w:val="178"/>
              <w:rPr>
                <w:sz w:val="15"/>
                <w:szCs w:val="16"/>
              </w:rPr>
            </w:pPr>
            <w:r>
              <w:rPr>
                <w:sz w:val="15"/>
                <w:szCs w:val="16"/>
              </w:rPr>
              <w:t>10</w:t>
            </w:r>
          </w:p>
        </w:tc>
      </w:tr>
      <w:tr w14:paraId="0176D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9334" w:type="dxa"/>
            <w:gridSpan w:val="4"/>
            <w:tcBorders>
              <w:top w:val="single" w:color="auto" w:sz="8" w:space="0"/>
              <w:bottom w:val="single" w:color="auto" w:sz="8" w:space="0"/>
            </w:tcBorders>
            <w:shd w:val="clear" w:color="auto" w:fill="auto"/>
            <w:vAlign w:val="center"/>
          </w:tcPr>
          <w:p w14:paraId="59F75619">
            <w:pPr>
              <w:pStyle w:val="179"/>
              <w:rPr>
                <w:sz w:val="20"/>
                <w:szCs w:val="20"/>
              </w:rPr>
            </w:pPr>
            <w:r>
              <w:rPr>
                <w:rFonts w:hint="eastAsia"/>
                <w:sz w:val="20"/>
                <w:szCs w:val="20"/>
              </w:rPr>
              <w:t>“—”表示不做要求</w:t>
            </w:r>
            <w:r>
              <w:rPr>
                <w:rFonts w:hint="eastAsia"/>
                <w:sz w:val="20"/>
                <w:szCs w:val="20"/>
                <w:lang w:eastAsia="zh-CN"/>
              </w:rPr>
              <w:t>。</w:t>
            </w:r>
          </w:p>
        </w:tc>
      </w:tr>
    </w:tbl>
    <w:p w14:paraId="014EF13E">
      <w:pPr>
        <w:pStyle w:val="112"/>
        <w:spacing w:before="156" w:after="156"/>
      </w:pPr>
      <w:bookmarkStart w:id="54" w:name="_Toc231994771"/>
      <w:bookmarkStart w:id="55" w:name="_Toc231994835"/>
      <w:r>
        <w:rPr>
          <w:rFonts w:hint="eastAsia"/>
        </w:rPr>
        <w:t>稳定性肥料的</w:t>
      </w:r>
      <w:r>
        <w:rPr>
          <w:rFonts w:hint="eastAsia"/>
          <w:color w:val="0000FF"/>
          <w:lang w:val="en-US" w:eastAsia="zh-CN"/>
        </w:rPr>
        <w:t>含量</w:t>
      </w:r>
      <w:r>
        <w:rPr>
          <w:rFonts w:hint="eastAsia"/>
          <w:color w:val="0000FF"/>
        </w:rPr>
        <w:t>技术要求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4526"/>
        <w:gridCol w:w="1583"/>
        <w:gridCol w:w="1620"/>
        <w:gridCol w:w="1605"/>
      </w:tblGrid>
      <w:tr w14:paraId="2B67F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tblHeader/>
          <w:jc w:val="center"/>
        </w:trPr>
        <w:tc>
          <w:tcPr>
            <w:tcW w:w="4526" w:type="dxa"/>
            <w:vMerge w:val="restart"/>
            <w:tcBorders>
              <w:top w:val="single" w:color="auto" w:sz="8" w:space="0"/>
            </w:tcBorders>
            <w:shd w:val="clear" w:color="auto" w:fill="auto"/>
            <w:vAlign w:val="center"/>
          </w:tcPr>
          <w:p w14:paraId="67B754D5">
            <w:pPr>
              <w:pStyle w:val="178"/>
              <w:rPr>
                <w:sz w:val="15"/>
                <w:szCs w:val="16"/>
              </w:rPr>
            </w:pPr>
            <w:r>
              <w:rPr>
                <w:rFonts w:hint="eastAsia"/>
                <w:sz w:val="15"/>
                <w:szCs w:val="16"/>
              </w:rPr>
              <w:t>项目</w:t>
            </w:r>
          </w:p>
        </w:tc>
        <w:tc>
          <w:tcPr>
            <w:tcW w:w="4808" w:type="dxa"/>
            <w:gridSpan w:val="3"/>
            <w:tcBorders>
              <w:top w:val="single" w:color="auto" w:sz="8" w:space="0"/>
              <w:bottom w:val="single" w:color="auto" w:sz="8" w:space="0"/>
            </w:tcBorders>
            <w:shd w:val="clear" w:color="auto" w:fill="auto"/>
            <w:vAlign w:val="center"/>
          </w:tcPr>
          <w:p w14:paraId="0561D143">
            <w:pPr>
              <w:pStyle w:val="178"/>
              <w:rPr>
                <w:sz w:val="15"/>
                <w:szCs w:val="16"/>
              </w:rPr>
            </w:pPr>
            <w:r>
              <w:rPr>
                <w:rFonts w:hint="eastAsia"/>
                <w:sz w:val="15"/>
                <w:szCs w:val="16"/>
              </w:rPr>
              <w:t>指标</w:t>
            </w:r>
          </w:p>
        </w:tc>
      </w:tr>
      <w:tr w14:paraId="394FC9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vMerge w:val="continue"/>
            <w:shd w:val="clear" w:color="auto" w:fill="auto"/>
            <w:vAlign w:val="center"/>
          </w:tcPr>
          <w:p w14:paraId="49504386">
            <w:pPr>
              <w:pStyle w:val="178"/>
              <w:rPr>
                <w:sz w:val="15"/>
                <w:szCs w:val="16"/>
              </w:rPr>
            </w:pPr>
          </w:p>
        </w:tc>
        <w:tc>
          <w:tcPr>
            <w:tcW w:w="1583" w:type="dxa"/>
            <w:tcBorders>
              <w:top w:val="single" w:color="auto" w:sz="8" w:space="0"/>
            </w:tcBorders>
            <w:shd w:val="clear" w:color="auto" w:fill="auto"/>
            <w:vAlign w:val="center"/>
          </w:tcPr>
          <w:p w14:paraId="54CF868F">
            <w:pPr>
              <w:pStyle w:val="178"/>
              <w:rPr>
                <w:sz w:val="15"/>
                <w:szCs w:val="16"/>
              </w:rPr>
            </w:pPr>
            <w:r>
              <w:rPr>
                <w:rFonts w:hint="eastAsia"/>
                <w:sz w:val="15"/>
                <w:szCs w:val="16"/>
              </w:rPr>
              <w:t>脲酶抑制型</w:t>
            </w:r>
          </w:p>
          <w:p w14:paraId="5BFDA158">
            <w:pPr>
              <w:pStyle w:val="178"/>
              <w:rPr>
                <w:sz w:val="15"/>
                <w:szCs w:val="16"/>
              </w:rPr>
            </w:pPr>
            <w:r>
              <w:rPr>
                <w:rFonts w:hint="eastAsia"/>
                <w:sz w:val="15"/>
                <w:szCs w:val="16"/>
              </w:rPr>
              <w:t>（稳定性肥料Ⅰ型）</w:t>
            </w:r>
          </w:p>
        </w:tc>
        <w:tc>
          <w:tcPr>
            <w:tcW w:w="1620" w:type="dxa"/>
            <w:tcBorders>
              <w:top w:val="single" w:color="auto" w:sz="8" w:space="0"/>
            </w:tcBorders>
            <w:shd w:val="clear" w:color="auto" w:fill="auto"/>
          </w:tcPr>
          <w:p w14:paraId="3ACFE471">
            <w:pPr>
              <w:pStyle w:val="178"/>
              <w:rPr>
                <w:sz w:val="15"/>
                <w:szCs w:val="16"/>
              </w:rPr>
            </w:pPr>
            <w:r>
              <w:rPr>
                <w:rFonts w:hint="eastAsia"/>
                <w:sz w:val="15"/>
                <w:szCs w:val="16"/>
              </w:rPr>
              <w:t>硝化抑制型</w:t>
            </w:r>
          </w:p>
          <w:p w14:paraId="535A4D0C">
            <w:pPr>
              <w:pStyle w:val="178"/>
              <w:rPr>
                <w:sz w:val="15"/>
                <w:szCs w:val="16"/>
              </w:rPr>
            </w:pPr>
            <w:r>
              <w:rPr>
                <w:rFonts w:hint="eastAsia"/>
                <w:sz w:val="15"/>
                <w:szCs w:val="16"/>
              </w:rPr>
              <w:t>（稳定性肥料Ⅱ型）</w:t>
            </w:r>
          </w:p>
        </w:tc>
        <w:tc>
          <w:tcPr>
            <w:tcW w:w="1605" w:type="dxa"/>
            <w:tcBorders>
              <w:top w:val="single" w:color="auto" w:sz="8" w:space="0"/>
            </w:tcBorders>
            <w:shd w:val="clear" w:color="auto" w:fill="auto"/>
          </w:tcPr>
          <w:p w14:paraId="7E7C712D">
            <w:pPr>
              <w:pStyle w:val="178"/>
              <w:rPr>
                <w:sz w:val="15"/>
                <w:szCs w:val="16"/>
              </w:rPr>
            </w:pPr>
            <w:r>
              <w:rPr>
                <w:rFonts w:hint="eastAsia"/>
                <w:sz w:val="15"/>
                <w:szCs w:val="16"/>
              </w:rPr>
              <w:t>复合型</w:t>
            </w:r>
          </w:p>
          <w:p w14:paraId="4CEE271E">
            <w:pPr>
              <w:pStyle w:val="178"/>
              <w:rPr>
                <w:sz w:val="15"/>
                <w:szCs w:val="16"/>
              </w:rPr>
            </w:pPr>
            <w:r>
              <w:rPr>
                <w:rFonts w:hint="eastAsia"/>
                <w:sz w:val="15"/>
                <w:szCs w:val="16"/>
              </w:rPr>
              <w:t>（稳定性肥料Ⅲ型）</w:t>
            </w:r>
          </w:p>
        </w:tc>
      </w:tr>
      <w:tr w14:paraId="305EF9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shd w:val="clear" w:color="auto" w:fill="auto"/>
            <w:vAlign w:val="center"/>
          </w:tcPr>
          <w:p w14:paraId="1F1218A4">
            <w:pPr>
              <w:pStyle w:val="178"/>
              <w:rPr>
                <w:sz w:val="15"/>
                <w:szCs w:val="16"/>
              </w:rPr>
            </w:pPr>
            <w:r>
              <w:rPr>
                <w:rFonts w:hint="eastAsia"/>
                <w:sz w:val="15"/>
                <w:szCs w:val="16"/>
              </w:rPr>
              <w:t>正丁基硫代磷酰三胺 NBPT，%</w:t>
            </w:r>
            <w:r>
              <w:rPr>
                <w:sz w:val="15"/>
                <w:szCs w:val="16"/>
              </w:rPr>
              <w:t xml:space="preserve"> </w:t>
            </w:r>
            <w:r>
              <w:rPr>
                <w:rFonts w:hint="eastAsia"/>
                <w:sz w:val="15"/>
                <w:szCs w:val="16"/>
              </w:rPr>
              <w:t xml:space="preserve"> </w:t>
            </w:r>
            <w:r>
              <w:rPr>
                <w:sz w:val="15"/>
                <w:szCs w:val="16"/>
              </w:rPr>
              <w:t xml:space="preserve"> </w:t>
            </w:r>
            <w:r>
              <w:rPr>
                <w:rFonts w:hint="eastAsia"/>
                <w:sz w:val="15"/>
                <w:szCs w:val="16"/>
              </w:rPr>
              <w:t xml:space="preserve"> ≥</w:t>
            </w:r>
          </w:p>
        </w:tc>
        <w:tc>
          <w:tcPr>
            <w:tcW w:w="1583" w:type="dxa"/>
            <w:shd w:val="clear" w:color="auto" w:fill="auto"/>
          </w:tcPr>
          <w:p w14:paraId="7CAF48E0">
            <w:pPr>
              <w:pStyle w:val="178"/>
              <w:rPr>
                <w:sz w:val="15"/>
                <w:szCs w:val="16"/>
              </w:rPr>
            </w:pPr>
            <w:r>
              <w:rPr>
                <w:rFonts w:hint="eastAsia"/>
                <w:sz w:val="15"/>
                <w:szCs w:val="16"/>
              </w:rPr>
              <w:t>0.</w:t>
            </w:r>
            <w:r>
              <w:rPr>
                <w:sz w:val="15"/>
                <w:szCs w:val="16"/>
              </w:rPr>
              <w:t>02</w:t>
            </w:r>
          </w:p>
        </w:tc>
        <w:tc>
          <w:tcPr>
            <w:tcW w:w="1620" w:type="dxa"/>
            <w:shd w:val="clear" w:color="auto" w:fill="auto"/>
          </w:tcPr>
          <w:p w14:paraId="77A0933E">
            <w:pPr>
              <w:pStyle w:val="178"/>
              <w:rPr>
                <w:sz w:val="15"/>
                <w:szCs w:val="16"/>
              </w:rPr>
            </w:pPr>
            <w:r>
              <w:rPr>
                <w:rFonts w:hint="eastAsia"/>
                <w:sz w:val="15"/>
                <w:szCs w:val="16"/>
              </w:rPr>
              <w:t>—</w:t>
            </w:r>
          </w:p>
        </w:tc>
        <w:tc>
          <w:tcPr>
            <w:tcW w:w="1605" w:type="dxa"/>
            <w:shd w:val="clear" w:color="auto" w:fill="auto"/>
          </w:tcPr>
          <w:p w14:paraId="361B2FEA">
            <w:pPr>
              <w:pStyle w:val="178"/>
              <w:rPr>
                <w:sz w:val="15"/>
                <w:szCs w:val="16"/>
              </w:rPr>
            </w:pPr>
            <w:r>
              <w:rPr>
                <w:sz w:val="15"/>
                <w:szCs w:val="16"/>
              </w:rPr>
              <w:t>0.02</w:t>
            </w:r>
          </w:p>
        </w:tc>
      </w:tr>
      <w:tr w14:paraId="0AD7D9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shd w:val="clear" w:color="auto" w:fill="auto"/>
            <w:vAlign w:val="center"/>
          </w:tcPr>
          <w:p w14:paraId="256DD201">
            <w:pPr>
              <w:pStyle w:val="178"/>
              <w:rPr>
                <w:sz w:val="15"/>
                <w:szCs w:val="16"/>
              </w:rPr>
            </w:pPr>
            <w:r>
              <w:rPr>
                <w:rFonts w:hint="eastAsia"/>
                <w:sz w:val="15"/>
                <w:szCs w:val="16"/>
              </w:rPr>
              <w:t xml:space="preserve">双氰胺 DCD，%  </w:t>
            </w:r>
            <w:r>
              <w:rPr>
                <w:sz w:val="15"/>
                <w:szCs w:val="16"/>
              </w:rPr>
              <w:t xml:space="preserve">       </w:t>
            </w:r>
            <w:r>
              <w:rPr>
                <w:rFonts w:hint="eastAsia"/>
                <w:sz w:val="15"/>
                <w:szCs w:val="16"/>
              </w:rPr>
              <w:t xml:space="preserve">   </w:t>
            </w:r>
            <w:r>
              <w:rPr>
                <w:sz w:val="15"/>
                <w:szCs w:val="16"/>
              </w:rPr>
              <w:t xml:space="preserve"> </w:t>
            </w:r>
            <w:r>
              <w:rPr>
                <w:rFonts w:hint="eastAsia"/>
                <w:sz w:val="15"/>
                <w:szCs w:val="16"/>
              </w:rPr>
              <w:t xml:space="preserve">  </w:t>
            </w:r>
            <w:r>
              <w:rPr>
                <w:sz w:val="15"/>
                <w:szCs w:val="16"/>
              </w:rPr>
              <w:t xml:space="preserve"> </w:t>
            </w:r>
            <w:r>
              <w:rPr>
                <w:rFonts w:hint="eastAsia"/>
                <w:sz w:val="15"/>
                <w:szCs w:val="16"/>
              </w:rPr>
              <w:t xml:space="preserve"> ≥</w:t>
            </w:r>
          </w:p>
        </w:tc>
        <w:tc>
          <w:tcPr>
            <w:tcW w:w="1583" w:type="dxa"/>
            <w:shd w:val="clear" w:color="auto" w:fill="auto"/>
          </w:tcPr>
          <w:p w14:paraId="00FE0AFC">
            <w:pPr>
              <w:pStyle w:val="178"/>
              <w:rPr>
                <w:sz w:val="15"/>
                <w:szCs w:val="16"/>
              </w:rPr>
            </w:pPr>
            <w:r>
              <w:rPr>
                <w:rFonts w:hint="eastAsia"/>
                <w:sz w:val="15"/>
                <w:szCs w:val="16"/>
              </w:rPr>
              <w:t>—</w:t>
            </w:r>
          </w:p>
        </w:tc>
        <w:tc>
          <w:tcPr>
            <w:tcW w:w="1620" w:type="dxa"/>
            <w:shd w:val="clear" w:color="auto" w:fill="auto"/>
          </w:tcPr>
          <w:p w14:paraId="43C7497B">
            <w:pPr>
              <w:pStyle w:val="178"/>
              <w:rPr>
                <w:sz w:val="15"/>
                <w:szCs w:val="16"/>
              </w:rPr>
            </w:pPr>
            <w:r>
              <w:rPr>
                <w:sz w:val="15"/>
                <w:szCs w:val="16"/>
              </w:rPr>
              <w:t>0.05</w:t>
            </w:r>
          </w:p>
        </w:tc>
        <w:tc>
          <w:tcPr>
            <w:tcW w:w="1605" w:type="dxa"/>
            <w:shd w:val="clear" w:color="auto" w:fill="auto"/>
          </w:tcPr>
          <w:p w14:paraId="5D61A920">
            <w:pPr>
              <w:pStyle w:val="178"/>
              <w:rPr>
                <w:sz w:val="15"/>
                <w:szCs w:val="16"/>
              </w:rPr>
            </w:pPr>
            <w:r>
              <w:rPr>
                <w:sz w:val="15"/>
                <w:szCs w:val="16"/>
              </w:rPr>
              <w:t>0.05</w:t>
            </w:r>
          </w:p>
        </w:tc>
      </w:tr>
      <w:tr w14:paraId="140E03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rPr>
          <w:jc w:val="center"/>
        </w:trPr>
        <w:tc>
          <w:tcPr>
            <w:tcW w:w="4526" w:type="dxa"/>
            <w:tcBorders>
              <w:bottom w:val="single" w:color="auto" w:sz="8" w:space="0"/>
            </w:tcBorders>
            <w:shd w:val="clear" w:color="auto" w:fill="auto"/>
            <w:vAlign w:val="center"/>
          </w:tcPr>
          <w:p w14:paraId="1F4B7873">
            <w:pPr>
              <w:pStyle w:val="178"/>
              <w:rPr>
                <w:sz w:val="15"/>
                <w:szCs w:val="16"/>
              </w:rPr>
            </w:pPr>
            <w:r>
              <w:rPr>
                <w:rFonts w:hint="eastAsia"/>
                <w:sz w:val="15"/>
                <w:szCs w:val="16"/>
              </w:rPr>
              <w:t xml:space="preserve">3,4-二甲基吡唑磷酸盐 DMPP，% </w:t>
            </w:r>
            <w:r>
              <w:rPr>
                <w:sz w:val="15"/>
                <w:szCs w:val="16"/>
              </w:rPr>
              <w:t xml:space="preserve"> </w:t>
            </w:r>
            <w:r>
              <w:rPr>
                <w:rFonts w:hint="eastAsia"/>
                <w:sz w:val="15"/>
                <w:szCs w:val="16"/>
              </w:rPr>
              <w:t>≥</w:t>
            </w:r>
          </w:p>
        </w:tc>
        <w:tc>
          <w:tcPr>
            <w:tcW w:w="1583" w:type="dxa"/>
            <w:tcBorders>
              <w:bottom w:val="single" w:color="auto" w:sz="8" w:space="0"/>
            </w:tcBorders>
            <w:shd w:val="clear" w:color="auto" w:fill="auto"/>
          </w:tcPr>
          <w:p w14:paraId="70E58BE5">
            <w:pPr>
              <w:pStyle w:val="178"/>
              <w:rPr>
                <w:sz w:val="15"/>
                <w:szCs w:val="16"/>
              </w:rPr>
            </w:pPr>
            <w:r>
              <w:rPr>
                <w:rFonts w:hint="eastAsia"/>
                <w:sz w:val="15"/>
                <w:szCs w:val="16"/>
              </w:rPr>
              <w:t>—</w:t>
            </w:r>
          </w:p>
        </w:tc>
        <w:tc>
          <w:tcPr>
            <w:tcW w:w="1620" w:type="dxa"/>
            <w:tcBorders>
              <w:bottom w:val="single" w:color="auto" w:sz="8" w:space="0"/>
            </w:tcBorders>
            <w:shd w:val="clear" w:color="auto" w:fill="auto"/>
          </w:tcPr>
          <w:p w14:paraId="1BDB26FF">
            <w:pPr>
              <w:pStyle w:val="178"/>
              <w:rPr>
                <w:sz w:val="15"/>
                <w:szCs w:val="16"/>
              </w:rPr>
            </w:pPr>
            <w:r>
              <w:rPr>
                <w:sz w:val="15"/>
                <w:szCs w:val="16"/>
              </w:rPr>
              <w:t>0.08</w:t>
            </w:r>
          </w:p>
        </w:tc>
        <w:tc>
          <w:tcPr>
            <w:tcW w:w="1605" w:type="dxa"/>
            <w:tcBorders>
              <w:bottom w:val="single" w:color="auto" w:sz="8" w:space="0"/>
            </w:tcBorders>
            <w:shd w:val="clear" w:color="auto" w:fill="auto"/>
          </w:tcPr>
          <w:p w14:paraId="4D4268D7">
            <w:pPr>
              <w:pStyle w:val="178"/>
              <w:rPr>
                <w:sz w:val="15"/>
                <w:szCs w:val="16"/>
              </w:rPr>
            </w:pPr>
            <w:r>
              <w:rPr>
                <w:sz w:val="15"/>
                <w:szCs w:val="16"/>
              </w:rPr>
              <w:t>0.08</w:t>
            </w:r>
          </w:p>
        </w:tc>
      </w:tr>
      <w:tr w14:paraId="1979F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334" w:type="dxa"/>
            <w:gridSpan w:val="4"/>
            <w:tcBorders>
              <w:top w:val="single" w:color="auto" w:sz="8" w:space="0"/>
              <w:bottom w:val="single" w:color="auto" w:sz="8" w:space="0"/>
            </w:tcBorders>
            <w:shd w:val="clear" w:color="auto" w:fill="auto"/>
            <w:vAlign w:val="center"/>
          </w:tcPr>
          <w:p w14:paraId="057ABEEA">
            <w:pPr>
              <w:pStyle w:val="179"/>
              <w:rPr>
                <w:sz w:val="20"/>
                <w:szCs w:val="20"/>
              </w:rPr>
            </w:pPr>
            <w:r>
              <w:rPr>
                <w:rFonts w:hint="eastAsia"/>
                <w:sz w:val="20"/>
                <w:szCs w:val="20"/>
              </w:rPr>
              <w:t>“—”表示不做要求；</w:t>
            </w:r>
            <w:r>
              <w:rPr>
                <w:rFonts w:hint="eastAsia"/>
                <w:color w:val="1D41D5"/>
                <w:sz w:val="20"/>
                <w:szCs w:val="20"/>
              </w:rPr>
              <w:t>硝化抑制型中的DCD和DMPP含量，满足其中一种即可达到要求。复合型应同时满足脲酶抑制剂含量要求和硝化抑制含量要求（DCD与DMPP满足其一即可）。</w:t>
            </w:r>
          </w:p>
        </w:tc>
      </w:tr>
    </w:tbl>
    <w:p w14:paraId="433274CE">
      <w:pPr>
        <w:pStyle w:val="104"/>
        <w:spacing w:before="312" w:after="312"/>
      </w:pPr>
      <w:r>
        <w:rPr>
          <w:rFonts w:hint="eastAsia"/>
        </w:rPr>
        <w:t>试验方法</w:t>
      </w:r>
      <w:bookmarkEnd w:id="54"/>
      <w:bookmarkEnd w:id="55"/>
    </w:p>
    <w:p w14:paraId="1D3F7C40">
      <w:pPr>
        <w:pStyle w:val="190"/>
      </w:pPr>
      <w:r>
        <w:rPr>
          <w:rFonts w:hint="eastAsia"/>
        </w:rPr>
        <w:t>警告——试剂中的浓盐酸具有腐蚀性，试验人员应进行适当防护。本文件并未指出所有可能的安全问题，使用者有责任采取适当的安全和健康措施，并保证符合国家有关法规规定的条件。本方法所用试剂及溶液的配制，在未注明规格和配制方法时，除非另有说明，均指分析纯试剂。实验中所使用的标准溶液，按HG/T 2843规定制备。</w:t>
      </w:r>
    </w:p>
    <w:p w14:paraId="7F5EC841">
      <w:pPr>
        <w:pStyle w:val="105"/>
        <w:spacing w:before="156" w:after="156"/>
      </w:pPr>
      <w:bookmarkStart w:id="56" w:name="_Toc231994772"/>
      <w:bookmarkStart w:id="57" w:name="_Toc231994836"/>
      <w:r>
        <w:rPr>
          <w:rFonts w:hint="eastAsia"/>
        </w:rPr>
        <w:t>外观</w:t>
      </w:r>
      <w:bookmarkEnd w:id="56"/>
      <w:bookmarkEnd w:id="57"/>
    </w:p>
    <w:p w14:paraId="6144C321">
      <w:pPr>
        <w:pStyle w:val="56"/>
        <w:ind w:firstLine="420"/>
      </w:pPr>
      <w:r>
        <w:rPr>
          <w:rFonts w:hint="eastAsia"/>
        </w:rPr>
        <w:t>目视法。</w:t>
      </w:r>
    </w:p>
    <w:p w14:paraId="1FF91970">
      <w:pPr>
        <w:pStyle w:val="105"/>
        <w:spacing w:before="156" w:after="156"/>
      </w:pPr>
      <w:bookmarkStart w:id="58" w:name="_Toc231994837"/>
      <w:bookmarkStart w:id="59" w:name="_Toc231994773"/>
      <w:r>
        <w:rPr>
          <w:rFonts w:hint="eastAsia"/>
        </w:rPr>
        <w:t>尿素残留差异率</w:t>
      </w:r>
      <w:bookmarkEnd w:id="58"/>
      <w:bookmarkEnd w:id="59"/>
    </w:p>
    <w:p w14:paraId="7F5C8B80">
      <w:pPr>
        <w:pStyle w:val="65"/>
        <w:spacing w:before="156" w:after="156"/>
      </w:pPr>
      <w:bookmarkStart w:id="60" w:name="_Toc231994774"/>
      <w:r>
        <w:rPr>
          <w:rFonts w:hint="eastAsia"/>
        </w:rPr>
        <w:t>原理</w:t>
      </w:r>
      <w:bookmarkEnd w:id="60"/>
    </w:p>
    <w:p w14:paraId="2B59996F">
      <w:pPr>
        <w:pStyle w:val="56"/>
        <w:ind w:firstLine="420"/>
      </w:pPr>
      <w:r>
        <w:rPr>
          <w:rFonts w:hint="eastAsia"/>
        </w:rPr>
        <w:t>脲酶抑制剂能够抑制脲酶对尿素的水解作用。在土壤和脲酶溶液的存在下，经过一段时间的培养，含有脲酶抑制剂的试样和对照样品的尿素残留量会产生差异，将</w:t>
      </w:r>
      <w:r>
        <w:rPr>
          <w:rFonts w:hint="eastAsia"/>
          <w:color w:val="1552D1"/>
        </w:rPr>
        <w:t>此差值与试样尿素残留量的百分比</w:t>
      </w:r>
      <w:r>
        <w:rPr>
          <w:rFonts w:hint="eastAsia"/>
        </w:rPr>
        <w:t>即尿素残留差异率作为评价指标。</w:t>
      </w:r>
    </w:p>
    <w:p w14:paraId="31DB481D">
      <w:pPr>
        <w:pStyle w:val="56"/>
        <w:ind w:firstLine="420"/>
      </w:pPr>
      <w:r>
        <w:rPr>
          <w:rFonts w:hint="eastAsia"/>
        </w:rPr>
        <w:t>对二甲氨基苯甲醛与尿素在浓盐酸作催化剂和无水乙醇作溶剂条件下，反应生成黄棕色的有机化合物。用分光光度计在420 nm处测定吸光度，得到相应的尿素含量。</w:t>
      </w:r>
    </w:p>
    <w:p w14:paraId="6D6A068E">
      <w:pPr>
        <w:pStyle w:val="65"/>
        <w:spacing w:before="156" w:after="156"/>
      </w:pPr>
      <w:bookmarkStart w:id="61" w:name="_Toc231994775"/>
      <w:r>
        <w:rPr>
          <w:rFonts w:hint="eastAsia"/>
        </w:rPr>
        <w:t>试剂或材料</w:t>
      </w:r>
      <w:bookmarkEnd w:id="61"/>
      <w:r>
        <w:rPr>
          <w:rFonts w:hint="eastAsia"/>
        </w:rPr>
        <w:t xml:space="preserve"> </w:t>
      </w:r>
    </w:p>
    <w:p w14:paraId="29C2A8D4">
      <w:pPr>
        <w:pStyle w:val="164"/>
      </w:pPr>
      <w:r>
        <w:rPr>
          <w:rFonts w:hint="eastAsia"/>
        </w:rPr>
        <w:t>脲酶：巨豆酶，活性为1 U/mg，-20℃冰箱内保存。</w:t>
      </w:r>
    </w:p>
    <w:p w14:paraId="50B95D67">
      <w:pPr>
        <w:pStyle w:val="164"/>
      </w:pPr>
      <w:r>
        <w:rPr>
          <w:rFonts w:hint="eastAsia"/>
        </w:rPr>
        <w:t>对二甲氨基苯甲醛显色剂：准确称量2.0000 g对二甲氨基苯甲醛溶于由10 mL浓盐酸和100 mL无水乙醇组成的混合液中，于棕色瓶中存放。</w:t>
      </w:r>
    </w:p>
    <w:p w14:paraId="2332D11C">
      <w:pPr>
        <w:pStyle w:val="164"/>
      </w:pPr>
      <w:r>
        <w:rPr>
          <w:rFonts w:hint="eastAsia"/>
        </w:rPr>
        <w:t>缓冲液：称取22.25 g磷酸氢二钠和17.00 g磷酸二氢钾溶解于800 mL水中，定容至2 L</w:t>
      </w:r>
      <w:r>
        <w:rPr>
          <w:rFonts w:hint="eastAsia"/>
          <w:color w:val="1D41D5"/>
        </w:rPr>
        <w:t>，混匀</w:t>
      </w:r>
      <w:r>
        <w:rPr>
          <w:rFonts w:hint="eastAsia"/>
        </w:rPr>
        <w:t>。</w:t>
      </w:r>
    </w:p>
    <w:p w14:paraId="6CC23432">
      <w:pPr>
        <w:pStyle w:val="164"/>
      </w:pPr>
      <w:r>
        <w:rPr>
          <w:rFonts w:hint="eastAsia"/>
        </w:rPr>
        <w:t>脲酶溶液 ρ=0.15 g/L：称取0.1500 g活性为1U/mg的脲酶干粉，溶解于缓冲液中，用缓冲液定容至1000 mL</w:t>
      </w:r>
      <w:r>
        <w:rPr>
          <w:rFonts w:hint="eastAsia"/>
          <w:color w:val="1D41D5"/>
        </w:rPr>
        <w:t>，混匀</w:t>
      </w:r>
      <w:r>
        <w:rPr>
          <w:rFonts w:hint="eastAsia"/>
        </w:rPr>
        <w:t>，现用现配。</w:t>
      </w:r>
    </w:p>
    <w:p w14:paraId="67709BB8">
      <w:pPr>
        <w:pStyle w:val="164"/>
      </w:pPr>
      <w:r>
        <w:rPr>
          <w:rFonts w:hint="eastAsia"/>
        </w:rPr>
        <w:t>尿素标准溶液ρ=0.5 g/L：称取0.5000g尿素（分析纯）溶解于500 mL水中，定容至1 L</w:t>
      </w:r>
      <w:r>
        <w:rPr>
          <w:rFonts w:hint="eastAsia"/>
          <w:color w:val="1D41D5"/>
        </w:rPr>
        <w:t>，混匀</w:t>
      </w:r>
      <w:r>
        <w:rPr>
          <w:rFonts w:hint="eastAsia"/>
        </w:rPr>
        <w:t>，置于冰箱中4℃冷藏保存。</w:t>
      </w:r>
    </w:p>
    <w:p w14:paraId="7E92647F">
      <w:pPr>
        <w:pStyle w:val="164"/>
        <w:rPr>
          <w:color w:val="0000FF"/>
        </w:rPr>
      </w:pPr>
      <w:r>
        <w:rPr>
          <w:rFonts w:hint="eastAsia"/>
          <w:color w:val="0000FF"/>
        </w:rPr>
        <w:t>土壤： 按NY/T 1121.1中的方法采集未施肥料两个月以上的耕层土壤（0-20 cm，pH 5.5-7.5），带回实验室风干、研磨、过1 mm筛、混匀备用。</w:t>
      </w:r>
    </w:p>
    <w:p w14:paraId="41927488">
      <w:pPr>
        <w:pStyle w:val="65"/>
        <w:spacing w:before="156" w:after="156"/>
      </w:pPr>
      <w:bookmarkStart w:id="62" w:name="_Toc231994776"/>
      <w:r>
        <w:rPr>
          <w:rFonts w:hint="eastAsia"/>
        </w:rPr>
        <w:t>仪器设备</w:t>
      </w:r>
      <w:bookmarkEnd w:id="62"/>
    </w:p>
    <w:p w14:paraId="44C3D26F">
      <w:pPr>
        <w:pStyle w:val="164"/>
      </w:pPr>
      <w:r>
        <w:rPr>
          <w:rFonts w:hint="eastAsia"/>
        </w:rPr>
        <w:t>通常实验室用仪器。</w:t>
      </w:r>
    </w:p>
    <w:p w14:paraId="204BE47F">
      <w:pPr>
        <w:pStyle w:val="164"/>
      </w:pPr>
      <w:r>
        <w:rPr>
          <w:rFonts w:hint="eastAsia"/>
        </w:rPr>
        <w:t>分光光度计。</w:t>
      </w:r>
    </w:p>
    <w:p w14:paraId="4C9B38F6">
      <w:pPr>
        <w:pStyle w:val="164"/>
      </w:pPr>
      <w:r>
        <w:rPr>
          <w:rFonts w:hint="eastAsia"/>
        </w:rPr>
        <w:t>恒温培养振荡器：空气式或水浴式均可，转速≥180 r/min。</w:t>
      </w:r>
    </w:p>
    <w:p w14:paraId="4580AA4D">
      <w:pPr>
        <w:pStyle w:val="164"/>
      </w:pPr>
      <w:r>
        <w:rPr>
          <w:rFonts w:hint="eastAsia"/>
        </w:rPr>
        <w:t>分析天平，感量0.0001 g。</w:t>
      </w:r>
    </w:p>
    <w:p w14:paraId="1D19C9FE">
      <w:pPr>
        <w:pStyle w:val="164"/>
      </w:pPr>
      <w:r>
        <w:rPr>
          <w:rFonts w:hint="eastAsia"/>
        </w:rPr>
        <w:t>冰箱。</w:t>
      </w:r>
    </w:p>
    <w:p w14:paraId="775648F4">
      <w:pPr>
        <w:pStyle w:val="65"/>
        <w:spacing w:before="156" w:after="156"/>
      </w:pPr>
      <w:bookmarkStart w:id="63" w:name="_Toc231994778"/>
      <w:r>
        <w:rPr>
          <w:rFonts w:hint="eastAsia"/>
        </w:rPr>
        <w:t>试验步骤</w:t>
      </w:r>
      <w:bookmarkEnd w:id="63"/>
    </w:p>
    <w:p w14:paraId="299B1932">
      <w:pPr>
        <w:pStyle w:val="94"/>
        <w:spacing w:before="156" w:after="156"/>
      </w:pPr>
      <w:r>
        <w:rPr>
          <w:rFonts w:hint="eastAsia"/>
        </w:rPr>
        <w:t>试料中尿素含量的测定</w:t>
      </w:r>
    </w:p>
    <w:p w14:paraId="236AF2AF">
      <w:pPr>
        <w:pStyle w:val="56"/>
        <w:ind w:firstLine="420"/>
      </w:pPr>
      <w:r>
        <w:rPr>
          <w:rFonts w:hint="eastAsia"/>
        </w:rPr>
        <w:t>按附录B进行测定。</w:t>
      </w:r>
    </w:p>
    <w:p w14:paraId="53983728">
      <w:pPr>
        <w:pStyle w:val="94"/>
        <w:spacing w:before="156" w:after="156"/>
      </w:pPr>
      <w:r>
        <w:rPr>
          <w:rFonts w:hint="eastAsia"/>
        </w:rPr>
        <w:t>尿素残留量的测定</w:t>
      </w:r>
    </w:p>
    <w:p w14:paraId="1C97C358">
      <w:pPr>
        <w:pStyle w:val="98"/>
        <w:spacing w:before="156" w:after="156"/>
      </w:pPr>
      <w:r>
        <w:rPr>
          <w:rFonts w:hint="eastAsia"/>
        </w:rPr>
        <w:t>尿素标准曲线绘制</w:t>
      </w:r>
    </w:p>
    <w:p w14:paraId="159B61BC">
      <w:pPr>
        <w:pStyle w:val="56"/>
        <w:ind w:firstLine="420"/>
      </w:pPr>
      <w:r>
        <w:rPr>
          <w:rFonts w:hint="eastAsia"/>
        </w:rPr>
        <w:t>分别吸取0.5 g/L的尿素标准溶液0.0 mL、2.0 mL、4.0 mL、6.0 mL、8.0 mL和10.0 mL，分别移至25 mL容量瓶中，加</w:t>
      </w:r>
      <w:r>
        <w:rPr>
          <w:rFonts w:hint="eastAsia"/>
          <w:color w:val="0000FF"/>
        </w:rPr>
        <w:t>入</w:t>
      </w:r>
      <w:r>
        <w:rPr>
          <w:rFonts w:hint="eastAsia"/>
        </w:rPr>
        <w:t>10 mL对二甲氨基苯甲醛显色剂，用蒸馏水定容</w:t>
      </w:r>
      <w:r>
        <w:rPr>
          <w:rFonts w:hint="eastAsia"/>
          <w:color w:val="1D41D5"/>
        </w:rPr>
        <w:t>，混匀</w:t>
      </w:r>
      <w:r>
        <w:rPr>
          <w:rFonts w:hint="eastAsia"/>
        </w:rPr>
        <w:t>。此尿素系列标准溶液</w:t>
      </w:r>
      <w:r>
        <w:rPr>
          <w:rFonts w:hint="eastAsia"/>
          <w:color w:val="0000FF"/>
        </w:rPr>
        <w:t>中的</w:t>
      </w:r>
      <w:r>
        <w:rPr>
          <w:rFonts w:hint="eastAsia"/>
        </w:rPr>
        <w:t>尿素浓度分别为0.00 g/L、0.04 g/L、0.08 g/L、0.12 g/L、0.16 g/L、0.20 g/L。放置20 min，待气泡完全消失后，用1 cm比色皿，在420 nm波长处比色，</w:t>
      </w:r>
      <w:r>
        <w:rPr>
          <w:rFonts w:hint="eastAsia" w:ascii="宋体" w:hAnsi="宋体" w:cs="宋体"/>
          <w:color w:val="1D41D5"/>
          <w:szCs w:val="21"/>
        </w:rPr>
        <w:t>以尿素浓度为0.00 g/L的溶液为参比调零，依次测定标准系列溶液的吸光度</w:t>
      </w:r>
      <w:r>
        <w:rPr>
          <w:rFonts w:hint="eastAsia"/>
          <w:color w:val="0000FF"/>
        </w:rPr>
        <w:t>。</w:t>
      </w:r>
      <w:r>
        <w:rPr>
          <w:rFonts w:hint="eastAsia"/>
        </w:rPr>
        <w:t>以尿素质量为纵坐标，吸光度为横坐标，绘制标准曲线并得出线性回归方程。每次测样均需制作标准曲线。</w:t>
      </w:r>
    </w:p>
    <w:p w14:paraId="398F0C72">
      <w:pPr>
        <w:pStyle w:val="98"/>
        <w:spacing w:before="156" w:after="156"/>
      </w:pPr>
      <w:r>
        <w:rPr>
          <w:rFonts w:hint="eastAsia"/>
        </w:rPr>
        <w:t>稳定性复混肥料（复合肥料）中尿素残留量的测定</w:t>
      </w:r>
    </w:p>
    <w:p w14:paraId="64EC4855">
      <w:pPr>
        <w:pStyle w:val="56"/>
        <w:ind w:firstLine="420"/>
      </w:pPr>
      <w:r>
        <w:rPr>
          <w:rFonts w:hint="eastAsia"/>
        </w:rPr>
        <w:t>准确称取1.500g试样（若其中尿素含量不足0.5 g，用尿素补足至0.5 g），置于250 mL具塞三角瓶中，另称取对照样品（</w:t>
      </w:r>
      <w:r>
        <w:rPr>
          <w:rFonts w:hint="eastAsia"/>
          <w:color w:val="0000FF"/>
        </w:rPr>
        <w:t>参见附录A中A.1和A.2，</w:t>
      </w:r>
      <w:r>
        <w:rPr>
          <w:rFonts w:hint="eastAsia"/>
        </w:rPr>
        <w:t>若尿素含量计算值不足0.5 g，</w:t>
      </w:r>
      <w:r>
        <w:rPr>
          <w:rFonts w:hint="eastAsia" w:ascii="宋体" w:hAnsi="宋体" w:cs="宋体"/>
          <w:szCs w:val="21"/>
        </w:rPr>
        <w:t>用尿素补足</w:t>
      </w:r>
      <w:r>
        <w:rPr>
          <w:rFonts w:hint="eastAsia"/>
        </w:rPr>
        <w:t>至0.5 g），在试样和对照样品的瓶中分别加入5.00 g风干土和0.15 g/L的脲酶溶液100 mL，在37 ℃恒温培养振荡器（180 r/min）中振荡5 h后取出过滤，每个样品做三组平行。</w:t>
      </w:r>
    </w:p>
    <w:p w14:paraId="652237D3">
      <w:pPr>
        <w:pStyle w:val="56"/>
        <w:ind w:firstLine="420"/>
      </w:pPr>
      <w:r>
        <w:rPr>
          <w:rFonts w:hint="eastAsia"/>
        </w:rPr>
        <w:t>吸取2.0 mL滤液，稀释至50 mL。吸取10.0 mL稀释后的滤液至25 mL容量瓶内，加入10 mL对二甲氨基苯甲醛显色剂，用蒸馏水定容</w:t>
      </w:r>
      <w:r>
        <w:rPr>
          <w:rFonts w:hint="eastAsia"/>
          <w:color w:val="1D41D5"/>
        </w:rPr>
        <w:t>，混匀</w:t>
      </w:r>
      <w:r>
        <w:rPr>
          <w:rFonts w:hint="eastAsia"/>
        </w:rPr>
        <w:t>。放置20 min，待气泡完全消失后，用1cm比色皿，以试剂空白做参比，在420 nm波长处测定吸光度值，根据尿素标准曲线</w:t>
      </w:r>
      <w:r>
        <w:rPr>
          <w:rFonts w:hint="eastAsia"/>
          <w:color w:val="00B0F0"/>
        </w:rPr>
        <w:t>（5.2.4.2.1）</w:t>
      </w:r>
      <w:r>
        <w:rPr>
          <w:rFonts w:hint="eastAsia"/>
        </w:rPr>
        <w:t>的线性回归方程计算出尿素浓度，根据式（1）分别计算出试样的尿素残留质量和对照样品的尿素残留质量。</w:t>
      </w:r>
    </w:p>
    <w:p w14:paraId="520C2F30">
      <w:pPr>
        <w:pStyle w:val="56"/>
        <w:ind w:firstLine="420"/>
      </w:pPr>
      <w:r>
        <w:rPr>
          <w:rFonts w:hint="eastAsia"/>
        </w:rPr>
        <w:t>尿素质量m，数值用毫克（mg）表示，按式（1）：</w:t>
      </w:r>
    </w:p>
    <w:p w14:paraId="00F8A300">
      <w:pPr>
        <w:pStyle w:val="229"/>
        <w:ind w:right="210" w:firstLine="0" w:firstLineChars="0"/>
        <w:jc w:val="right"/>
        <w:rPr>
          <w:rFonts w:ascii="Times New Roman"/>
        </w:rPr>
      </w:pPr>
      <w:r>
        <w:rPr>
          <w:rFonts w:ascii="Times New Roman"/>
          <w:position w:val="-24"/>
          <w:szCs w:val="21"/>
        </w:rPr>
        <w:object>
          <v:shape id="_x0000_i1025" o:spt="75" type="#_x0000_t75" style="height:31.3pt;width:165.9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rFonts w:hint="eastAsia" w:ascii="Times New Roman"/>
          <w:szCs w:val="21"/>
          <w:lang w:val="pt-BR"/>
        </w:rPr>
        <w:t>……………………………………</w:t>
      </w:r>
      <w:r>
        <w:rPr>
          <w:rFonts w:ascii="Times New Roman"/>
        </w:rPr>
        <w:t>（1）</w:t>
      </w:r>
    </w:p>
    <w:p w14:paraId="0D1B8CCE">
      <w:pPr>
        <w:pStyle w:val="229"/>
        <w:ind w:firstLine="0" w:firstLineChars="0"/>
        <w:jc w:val="left"/>
        <w:rPr>
          <w:rFonts w:ascii="Times New Roman"/>
          <w:szCs w:val="21"/>
        </w:rPr>
      </w:pPr>
      <w:r>
        <w:rPr>
          <w:rFonts w:hint="eastAsia" w:ascii="Times New Roman"/>
          <w:szCs w:val="21"/>
        </w:rPr>
        <w:t>式中：</w:t>
      </w:r>
    </w:p>
    <w:p w14:paraId="73114021">
      <w:pPr>
        <w:pStyle w:val="229"/>
        <w:jc w:val="left"/>
        <w:rPr>
          <w:rFonts w:ascii="Times New Roman"/>
          <w:szCs w:val="21"/>
        </w:rPr>
      </w:pPr>
      <w:r>
        <w:rPr>
          <w:rFonts w:ascii="Times New Roman"/>
          <w:szCs w:val="21"/>
        </w:rPr>
        <w:t>ρ</w:t>
      </w:r>
      <w:r>
        <w:rPr>
          <w:rFonts w:hint="eastAsia" w:ascii="Times New Roman"/>
          <w:szCs w:val="21"/>
          <w:vertAlign w:val="subscript"/>
        </w:rPr>
        <w:t>1</w:t>
      </w:r>
      <w:r>
        <w:rPr>
          <w:rFonts w:hint="eastAsia" w:ascii="Times New Roman"/>
          <w:szCs w:val="21"/>
        </w:rPr>
        <w:t>——根据标准曲线（5.2.4.2.1）的线性回归方程</w:t>
      </w:r>
      <w:r>
        <w:rPr>
          <w:rFonts w:ascii="Times New Roman"/>
          <w:szCs w:val="21"/>
        </w:rPr>
        <w:t>计算出尿素</w:t>
      </w:r>
      <w:r>
        <w:rPr>
          <w:rFonts w:hint="eastAsia" w:ascii="Times New Roman"/>
          <w:szCs w:val="21"/>
        </w:rPr>
        <w:t>浓度的数值，单位为克每升（g/L）；</w:t>
      </w:r>
    </w:p>
    <w:p w14:paraId="0898F28F">
      <w:pPr>
        <w:pStyle w:val="229"/>
        <w:jc w:val="left"/>
        <w:rPr>
          <w:rFonts w:ascii="Times New Roman"/>
          <w:szCs w:val="21"/>
        </w:rPr>
      </w:pPr>
      <w:r>
        <w:rPr>
          <w:rFonts w:hint="eastAsia" w:ascii="Times New Roman"/>
          <w:szCs w:val="21"/>
        </w:rPr>
        <w:t>25——显色体积的数值，单位为毫升（mL）；</w:t>
      </w:r>
    </w:p>
    <w:p w14:paraId="2A9D6295">
      <w:pPr>
        <w:pStyle w:val="229"/>
        <w:ind w:firstLine="315" w:firstLineChars="150"/>
        <w:jc w:val="left"/>
        <w:rPr>
          <w:rFonts w:ascii="Times New Roman"/>
          <w:szCs w:val="21"/>
        </w:rPr>
      </w:pPr>
      <w:r>
        <w:rPr>
          <w:position w:val="-24"/>
        </w:rPr>
        <w:object>
          <v:shape id="_x0000_i1026" o:spt="75" type="#_x0000_t75" style="height:22.55pt;width:12.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rFonts w:hint="eastAsia"/>
        </w:rPr>
        <w:t>——</w:t>
      </w:r>
      <w:r>
        <w:rPr>
          <w:rFonts w:hint="eastAsia" w:ascii="Times New Roman"/>
          <w:szCs w:val="21"/>
        </w:rPr>
        <w:t>稀释倍数；</w:t>
      </w:r>
    </w:p>
    <w:p w14:paraId="1AA5CAA3">
      <w:pPr>
        <w:pStyle w:val="229"/>
        <w:ind w:firstLine="315" w:firstLineChars="150"/>
        <w:jc w:val="left"/>
      </w:pPr>
      <w:r>
        <w:rPr>
          <w:position w:val="-24"/>
        </w:rPr>
        <w:object>
          <v:shape id="_x0000_i1027" o:spt="75" type="#_x0000_t75" style="height:23.8pt;width:16.9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rFonts w:hint="eastAsia"/>
        </w:rPr>
        <w:t>——</w:t>
      </w:r>
      <w:r>
        <w:rPr>
          <w:rFonts w:hint="eastAsia" w:ascii="Times New Roman"/>
          <w:szCs w:val="21"/>
        </w:rPr>
        <w:t>分取倍数。</w:t>
      </w:r>
    </w:p>
    <w:p w14:paraId="0D669A5B">
      <w:pPr>
        <w:pStyle w:val="98"/>
        <w:spacing w:before="156" w:after="156"/>
      </w:pPr>
      <w:r>
        <w:rPr>
          <w:rFonts w:hint="eastAsia"/>
        </w:rPr>
        <w:t>稳定性尿素</w:t>
      </w:r>
      <w:r>
        <w:rPr>
          <w:rFonts w:hint="eastAsia"/>
          <w:color w:val="1D41D5"/>
        </w:rPr>
        <w:t>中尿素</w:t>
      </w:r>
      <w:r>
        <w:rPr>
          <w:rFonts w:hint="eastAsia"/>
        </w:rPr>
        <w:t>残留量的测定</w:t>
      </w:r>
    </w:p>
    <w:p w14:paraId="5E5DD4D4">
      <w:pPr>
        <w:pStyle w:val="56"/>
        <w:ind w:firstLine="420"/>
      </w:pPr>
      <w:r>
        <w:rPr>
          <w:rFonts w:hint="eastAsia"/>
        </w:rPr>
        <w:t>准确称取0.500 g试样，置于250 mL具塞三角瓶中，在瓶中分别加入5.00 g风干土和0.15 g/L的脲酶溶液100 mL，在37 ℃恒温振荡器（180 r/min）中振荡5 h后取出过滤，以0.500 g尿素（分析纯）作为对照样品，处理方式与试样相同。每个样品做三组平行。</w:t>
      </w:r>
    </w:p>
    <w:p w14:paraId="0DB0E36B">
      <w:pPr>
        <w:pStyle w:val="56"/>
        <w:ind w:firstLine="420"/>
      </w:pPr>
      <w:r>
        <w:rPr>
          <w:rFonts w:hint="eastAsia"/>
        </w:rPr>
        <w:t>吸取2.0 mL滤液，稀释至50 mL</w:t>
      </w:r>
      <w:r>
        <w:rPr>
          <w:rFonts w:hint="eastAsia"/>
          <w:color w:val="1D41D5"/>
        </w:rPr>
        <w:t>，混匀</w:t>
      </w:r>
      <w:r>
        <w:rPr>
          <w:rFonts w:hint="eastAsia"/>
        </w:rPr>
        <w:t>。吸取10.0 mL稀释后的滤液至25 mL容量瓶内，加入10 mL对二甲氨基苯甲醛显色剂，用蒸馏水定容</w:t>
      </w:r>
      <w:r>
        <w:rPr>
          <w:rFonts w:hint="eastAsia"/>
          <w:color w:val="1D41D5"/>
        </w:rPr>
        <w:t>，混匀</w:t>
      </w:r>
      <w:r>
        <w:rPr>
          <w:rFonts w:hint="eastAsia"/>
        </w:rPr>
        <w:t>。放置20 min，待气泡完全消失后，用1 cm比色皿，以试剂空白做参比，在420 nm波长处测定吸光度值，根据尿素标准曲线（5.2.4.2.1）的线性回归方程计算出尿素浓度，根据式（1）分别计算出试样尿素残留质量和对照的尿素残留质量。</w:t>
      </w:r>
    </w:p>
    <w:p w14:paraId="64CD535C">
      <w:pPr>
        <w:pStyle w:val="65"/>
        <w:spacing w:before="156" w:after="156"/>
      </w:pPr>
      <w:bookmarkStart w:id="64" w:name="_Toc231994779"/>
      <w:r>
        <w:rPr>
          <w:rFonts w:hint="eastAsia"/>
        </w:rPr>
        <w:t>试验数据处理</w:t>
      </w:r>
      <w:bookmarkEnd w:id="64"/>
    </w:p>
    <w:p w14:paraId="72A93F0D">
      <w:pPr>
        <w:pStyle w:val="56"/>
        <w:ind w:firstLine="420"/>
      </w:pPr>
      <w:r>
        <w:rPr>
          <w:szCs w:val="21"/>
        </w:rPr>
        <w:t>尿素残留差异率</w:t>
      </w:r>
      <w:r>
        <w:rPr>
          <w:rFonts w:hint="eastAsia"/>
          <w:szCs w:val="21"/>
        </w:rPr>
        <w:t>dU，</w:t>
      </w:r>
      <w:r>
        <w:t>数值以%表示，按式（</w:t>
      </w:r>
      <w:r>
        <w:rPr>
          <w:rFonts w:hint="eastAsia"/>
        </w:rPr>
        <w:t>2</w:t>
      </w:r>
      <w:r>
        <w:t>）计算</w:t>
      </w:r>
      <w:r>
        <w:rPr>
          <w:rFonts w:hint="eastAsia"/>
        </w:rPr>
        <w:t>，</w:t>
      </w:r>
      <w:r>
        <w:t xml:space="preserve"> </w:t>
      </w:r>
    </w:p>
    <w:p w14:paraId="08553E47">
      <w:pPr>
        <w:pStyle w:val="56"/>
        <w:ind w:firstLine="420"/>
        <w:jc w:val="center"/>
      </w:pPr>
      <w:r>
        <w:rPr>
          <w:rFonts w:hint="eastAsia"/>
          <w:position w:val="-24"/>
        </w:rPr>
        <w:t xml:space="preserve">                           </w:t>
      </w:r>
      <w:r>
        <w:rPr>
          <w:position w:val="-24"/>
        </w:rPr>
        <w:object>
          <v:shape id="_x0000_i1028" o:spt="75" type="#_x0000_t75" style="height:35.05pt;width:98.9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r>
        <w:rPr>
          <w:b/>
          <w:bCs/>
          <w:snapToGrid w:val="0"/>
          <w:spacing w:val="-3"/>
        </w:rPr>
        <w:t xml:space="preserve"> </w:t>
      </w:r>
      <w:r>
        <w:rPr>
          <w:rFonts w:hint="eastAsia"/>
          <w:szCs w:val="21"/>
          <w:lang w:val="pt-BR"/>
        </w:rPr>
        <w:t>…………………………………………</w:t>
      </w:r>
      <w:r>
        <w:t>（</w:t>
      </w:r>
      <w:r>
        <w:rPr>
          <w:rFonts w:hint="eastAsia"/>
        </w:rPr>
        <w:t>2</w:t>
      </w:r>
      <w:r>
        <w:t>）</w:t>
      </w:r>
    </w:p>
    <w:p w14:paraId="09DBE5AB">
      <w:pPr>
        <w:pStyle w:val="56"/>
        <w:ind w:firstLine="420"/>
      </w:pPr>
      <w:r>
        <w:t>式中：</w:t>
      </w:r>
    </w:p>
    <w:p w14:paraId="2211DFDE">
      <w:pPr>
        <w:pStyle w:val="56"/>
        <w:ind w:firstLine="420"/>
      </w:pPr>
      <w:r>
        <w:rPr>
          <w:rFonts w:hint="eastAsia"/>
          <w:i/>
        </w:rPr>
        <w:t>m</w:t>
      </w:r>
      <w:r>
        <w:rPr>
          <w:rFonts w:hint="eastAsia"/>
          <w:vertAlign w:val="subscript"/>
        </w:rPr>
        <w:t>1</w:t>
      </w:r>
      <w:r>
        <w:rPr>
          <w:rFonts w:hint="eastAsia"/>
        </w:rPr>
        <w:t>——试样</w:t>
      </w:r>
      <w:r>
        <w:t>的尿素残留</w:t>
      </w:r>
      <w:r>
        <w:rPr>
          <w:rFonts w:hint="eastAsia"/>
          <w:color w:val="0000FF"/>
        </w:rPr>
        <w:t>质</w:t>
      </w:r>
      <w:r>
        <w:t>量</w:t>
      </w:r>
      <w:r>
        <w:rPr>
          <w:rFonts w:hint="eastAsia"/>
        </w:rPr>
        <w:t>（三次平行的算术平均值）</w:t>
      </w:r>
      <w:r>
        <w:t>，单位为毫克（mg）；</w:t>
      </w:r>
    </w:p>
    <w:p w14:paraId="44036324">
      <w:pPr>
        <w:pStyle w:val="56"/>
        <w:ind w:firstLine="420"/>
      </w:pPr>
      <w:r>
        <w:rPr>
          <w:rFonts w:hint="eastAsia"/>
          <w:i/>
        </w:rPr>
        <w:t>m</w:t>
      </w:r>
      <w:r>
        <w:rPr>
          <w:rFonts w:hint="eastAsia"/>
          <w:vertAlign w:val="subscript"/>
        </w:rPr>
        <w:t>2</w:t>
      </w:r>
      <w:r>
        <w:rPr>
          <w:rFonts w:hint="eastAsia"/>
        </w:rPr>
        <w:t>——</w:t>
      </w:r>
      <w:r>
        <w:t>对照</w:t>
      </w:r>
      <w:r>
        <w:rPr>
          <w:rFonts w:hint="eastAsia"/>
        </w:rPr>
        <w:t>样品</w:t>
      </w:r>
      <w:r>
        <w:t>的尿素残留</w:t>
      </w:r>
      <w:r>
        <w:rPr>
          <w:rFonts w:hint="eastAsia"/>
          <w:color w:val="0000FF"/>
        </w:rPr>
        <w:t>质</w:t>
      </w:r>
      <w:r>
        <w:t>量</w:t>
      </w:r>
      <w:r>
        <w:rPr>
          <w:rFonts w:hint="eastAsia"/>
        </w:rPr>
        <w:t>（三次平行的算术平均值）</w:t>
      </w:r>
      <w:r>
        <w:t>，单位为毫克（mg）；</w:t>
      </w:r>
    </w:p>
    <w:p w14:paraId="126BB314">
      <w:pPr>
        <w:pStyle w:val="56"/>
        <w:ind w:firstLine="420"/>
      </w:pPr>
      <w:r>
        <w:t>计算结果保留到小数点后一位。</w:t>
      </w:r>
      <w:r>
        <w:rPr>
          <w:rFonts w:hint="eastAsia"/>
        </w:rPr>
        <w:t>取</w:t>
      </w:r>
      <w:r>
        <w:rPr>
          <w:rFonts w:hint="eastAsia"/>
          <w:color w:val="1D41D5"/>
        </w:rPr>
        <w:t>三</w:t>
      </w:r>
      <w:r>
        <w:rPr>
          <w:rFonts w:hint="eastAsia"/>
        </w:rPr>
        <w:t>次平行测定结果的算术平均值作为测定结果。</w:t>
      </w:r>
    </w:p>
    <w:p w14:paraId="36AC3D28">
      <w:pPr>
        <w:pStyle w:val="65"/>
        <w:spacing w:before="156" w:after="156"/>
      </w:pPr>
      <w:bookmarkStart w:id="65" w:name="_Toc231994780"/>
      <w:r>
        <w:rPr>
          <w:rFonts w:hint="eastAsia"/>
        </w:rPr>
        <w:t>允许差</w:t>
      </w:r>
      <w:bookmarkEnd w:id="65"/>
    </w:p>
    <w:p w14:paraId="2C098F20">
      <w:pPr>
        <w:pStyle w:val="56"/>
        <w:ind w:firstLine="420"/>
      </w:pPr>
      <w:r>
        <w:rPr>
          <w:rFonts w:hint="eastAsia"/>
        </w:rPr>
        <w:t>平行测定结果之间相对偏差不大于5.0 %，不同实验室测定结果的相对偏差不大于10.0 %。</w:t>
      </w:r>
    </w:p>
    <w:p w14:paraId="6F50E8C0">
      <w:pPr>
        <w:pStyle w:val="105"/>
        <w:spacing w:before="156" w:after="156"/>
      </w:pPr>
      <w:bookmarkStart w:id="66" w:name="_Toc231994781"/>
      <w:bookmarkStart w:id="67" w:name="_Toc231994838"/>
      <w:r>
        <w:rPr>
          <w:rFonts w:hint="eastAsia"/>
        </w:rPr>
        <w:t>硝化潜势差异率</w:t>
      </w:r>
      <w:bookmarkEnd w:id="66"/>
      <w:bookmarkEnd w:id="67"/>
    </w:p>
    <w:p w14:paraId="567FD93A">
      <w:pPr>
        <w:pStyle w:val="56"/>
        <w:ind w:firstLine="420"/>
        <w:rPr>
          <w:color w:val="1552D1"/>
        </w:rPr>
      </w:pPr>
      <w:r>
        <w:rPr>
          <w:rFonts w:hint="eastAsia"/>
          <w:color w:val="1552D1"/>
        </w:rPr>
        <w:t>本文件中硝化潜势差异率指标测定的原理、培养方法和计算逻辑均依据GB/T 41223中制定。</w:t>
      </w:r>
    </w:p>
    <w:p w14:paraId="2CD74CAB">
      <w:pPr>
        <w:pStyle w:val="65"/>
        <w:spacing w:before="156" w:after="156"/>
      </w:pPr>
      <w:bookmarkStart w:id="68" w:name="_Toc231994782"/>
      <w:r>
        <w:rPr>
          <w:rFonts w:hint="eastAsia"/>
        </w:rPr>
        <w:t>原理</w:t>
      </w:r>
      <w:bookmarkEnd w:id="68"/>
    </w:p>
    <w:p w14:paraId="6DE326B3">
      <w:pPr>
        <w:pStyle w:val="56"/>
        <w:ind w:firstLine="420"/>
      </w:pPr>
      <w:r>
        <w:rPr>
          <w:rFonts w:hint="eastAsia"/>
        </w:rPr>
        <w:t>氨氧化是土壤自养硝化作用的第一步，用来评价硝化微生物种群的潜在活性，</w:t>
      </w:r>
      <w:r>
        <w:rPr>
          <w:rFonts w:hint="eastAsia"/>
          <w:color w:val="0000FF"/>
        </w:rPr>
        <w:t>即硝化潜势</w:t>
      </w:r>
      <w:r>
        <w:rPr>
          <w:rFonts w:hint="eastAsia"/>
        </w:rPr>
        <w:t>。通过向土壤泥浆中添加适量的含氮培养液促进氨氧化微生物生长，然后加入氯酸钠抑制亚硝酸氧化细菌所调控</w:t>
      </w:r>
      <w:r>
        <w:rPr>
          <w:rFonts w:hint="eastAsia"/>
          <w:color w:val="1D41D5"/>
        </w:rPr>
        <w:t>的</w:t>
      </w:r>
      <w:r>
        <w:rPr>
          <w:rFonts w:hint="eastAsia"/>
        </w:rPr>
        <w:t>亚硝酸盐氧化过程；通过测定培养2小时和6小时后累积的亚硝酸盐含量</w:t>
      </w:r>
      <w:r>
        <w:rPr>
          <w:rFonts w:hint="eastAsia"/>
          <w:color w:val="0000FF"/>
        </w:rPr>
        <w:t>差值来计算硝化潜势</w:t>
      </w:r>
      <w:r>
        <w:rPr>
          <w:rFonts w:hint="eastAsia"/>
        </w:rPr>
        <w:t>；进一步通过比较等氮量的肥料样品与对照在培养过程中产生的</w:t>
      </w:r>
      <w:r>
        <w:rPr>
          <w:rFonts w:hint="eastAsia"/>
          <w:color w:val="0000FF"/>
        </w:rPr>
        <w:t>硝化潜势</w:t>
      </w:r>
      <w:r>
        <w:rPr>
          <w:rFonts w:hint="eastAsia"/>
        </w:rPr>
        <w:t>差异，以此评估肥料样品的硝化抑制效果。</w:t>
      </w:r>
    </w:p>
    <w:p w14:paraId="24500FDC">
      <w:pPr>
        <w:pStyle w:val="65"/>
        <w:spacing w:before="156" w:after="156"/>
      </w:pPr>
      <w:bookmarkStart w:id="69" w:name="_Toc231994783"/>
      <w:r>
        <w:rPr>
          <w:rFonts w:hint="eastAsia"/>
        </w:rPr>
        <w:t>仪器和设备</w:t>
      </w:r>
      <w:bookmarkEnd w:id="69"/>
    </w:p>
    <w:p w14:paraId="74114886">
      <w:pPr>
        <w:pStyle w:val="164"/>
        <w:rPr>
          <w:snapToGrid w:val="0"/>
        </w:rPr>
      </w:pPr>
      <w:r>
        <w:rPr>
          <w:snapToGrid w:val="0"/>
        </w:rPr>
        <w:t>通常实验室用仪器。</w:t>
      </w:r>
    </w:p>
    <w:p w14:paraId="21ED10E1">
      <w:pPr>
        <w:pStyle w:val="164"/>
        <w:rPr>
          <w:snapToGrid w:val="0"/>
          <w:spacing w:val="-6"/>
        </w:rPr>
      </w:pPr>
      <w:r>
        <w:rPr>
          <w:snapToGrid w:val="0"/>
          <w:spacing w:val="4"/>
        </w:rPr>
        <w:t>紫外分</w:t>
      </w:r>
      <w:r>
        <w:rPr>
          <w:snapToGrid w:val="0"/>
          <w:spacing w:val="-6"/>
        </w:rPr>
        <w:t>光光度计。</w:t>
      </w:r>
    </w:p>
    <w:p w14:paraId="11B1A67A">
      <w:pPr>
        <w:pStyle w:val="164"/>
        <w:rPr>
          <w:snapToGrid w:val="0"/>
          <w:spacing w:val="-6"/>
        </w:rPr>
      </w:pPr>
      <w:r>
        <w:rPr>
          <w:snapToGrid w:val="0"/>
          <w:spacing w:val="-6"/>
        </w:rPr>
        <w:t>-20</w:t>
      </w:r>
      <w:r>
        <w:rPr>
          <w:rFonts w:hint="eastAsia"/>
          <w:snapToGrid w:val="0"/>
          <w:spacing w:val="-6"/>
        </w:rPr>
        <w:t>℃</w:t>
      </w:r>
      <w:r>
        <w:rPr>
          <w:rFonts w:hint="eastAsia"/>
          <w:snapToGrid w:val="0"/>
          <w:color w:val="1D41D5"/>
          <w:spacing w:val="-6"/>
        </w:rPr>
        <w:t>温控</w:t>
      </w:r>
      <w:r>
        <w:rPr>
          <w:snapToGrid w:val="0"/>
          <w:spacing w:val="-6"/>
        </w:rPr>
        <w:t>冰箱。</w:t>
      </w:r>
    </w:p>
    <w:p w14:paraId="6AF33E6B">
      <w:pPr>
        <w:pStyle w:val="164"/>
        <w:rPr>
          <w:snapToGrid w:val="0"/>
          <w:spacing w:val="-6"/>
        </w:rPr>
      </w:pPr>
      <w:r>
        <w:rPr>
          <w:snapToGrid w:val="0"/>
          <w:spacing w:val="-6"/>
        </w:rPr>
        <w:t>pH计。</w:t>
      </w:r>
    </w:p>
    <w:p w14:paraId="0CF25DAD">
      <w:pPr>
        <w:pStyle w:val="164"/>
        <w:rPr>
          <w:snapToGrid w:val="0"/>
        </w:rPr>
      </w:pPr>
      <w:r>
        <w:rPr>
          <w:snapToGrid w:val="0"/>
        </w:rPr>
        <w:t>恒温培养振荡器：空气式或水浴式均可，转速≥180</w:t>
      </w:r>
      <w:r>
        <w:rPr>
          <w:snapToGrid w:val="0"/>
          <w:spacing w:val="9"/>
        </w:rPr>
        <w:t xml:space="preserve"> </w:t>
      </w:r>
      <w:r>
        <w:rPr>
          <w:snapToGrid w:val="0"/>
        </w:rPr>
        <w:t>r/min。</w:t>
      </w:r>
    </w:p>
    <w:p w14:paraId="501780CB">
      <w:pPr>
        <w:pStyle w:val="164"/>
        <w:rPr>
          <w:snapToGrid w:val="0"/>
        </w:rPr>
      </w:pPr>
      <w:r>
        <w:rPr>
          <w:rFonts w:hint="eastAsia"/>
          <w:snapToGrid w:val="0"/>
          <w:spacing w:val="-5"/>
        </w:rPr>
        <w:t>生化</w:t>
      </w:r>
      <w:r>
        <w:rPr>
          <w:snapToGrid w:val="0"/>
          <w:spacing w:val="-5"/>
        </w:rPr>
        <w:t>恒温培养箱。</w:t>
      </w:r>
    </w:p>
    <w:p w14:paraId="56625316">
      <w:pPr>
        <w:pStyle w:val="164"/>
        <w:rPr>
          <w:snapToGrid w:val="0"/>
        </w:rPr>
      </w:pPr>
      <w:r>
        <w:rPr>
          <w:snapToGrid w:val="0"/>
          <w:spacing w:val="-3"/>
        </w:rPr>
        <w:t>分析天平，感量0.0001</w:t>
      </w:r>
      <w:r>
        <w:rPr>
          <w:snapToGrid w:val="0"/>
          <w:spacing w:val="-41"/>
        </w:rPr>
        <w:t xml:space="preserve"> </w:t>
      </w:r>
      <w:r>
        <w:rPr>
          <w:snapToGrid w:val="0"/>
          <w:spacing w:val="-3"/>
        </w:rPr>
        <w:t>g。</w:t>
      </w:r>
    </w:p>
    <w:p w14:paraId="21597ABD">
      <w:pPr>
        <w:pStyle w:val="164"/>
        <w:rPr>
          <w:snapToGrid w:val="0"/>
        </w:rPr>
      </w:pPr>
      <w:r>
        <w:rPr>
          <w:snapToGrid w:val="0"/>
          <w:spacing w:val="1"/>
        </w:rPr>
        <w:t>适合的培养容器（上直径≈8</w:t>
      </w:r>
      <w:r>
        <w:rPr>
          <w:snapToGrid w:val="0"/>
          <w:spacing w:val="-52"/>
        </w:rPr>
        <w:t xml:space="preserve"> </w:t>
      </w:r>
      <w:r>
        <w:rPr>
          <w:snapToGrid w:val="0"/>
        </w:rPr>
        <w:t>cm，</w:t>
      </w:r>
      <w:r>
        <w:rPr>
          <w:snapToGrid w:val="0"/>
          <w:spacing w:val="1"/>
        </w:rPr>
        <w:t>高≈7</w:t>
      </w:r>
      <w:r>
        <w:rPr>
          <w:snapToGrid w:val="0"/>
          <w:spacing w:val="-42"/>
        </w:rPr>
        <w:t xml:space="preserve"> </w:t>
      </w:r>
      <w:r>
        <w:rPr>
          <w:snapToGrid w:val="0"/>
        </w:rPr>
        <w:t>cm，</w:t>
      </w:r>
      <w:r>
        <w:rPr>
          <w:snapToGrid w:val="0"/>
          <w:spacing w:val="1"/>
        </w:rPr>
        <w:t>下直径≈6</w:t>
      </w:r>
      <w:r>
        <w:rPr>
          <w:snapToGrid w:val="0"/>
          <w:spacing w:val="7"/>
        </w:rPr>
        <w:t xml:space="preserve"> </w:t>
      </w:r>
      <w:r>
        <w:rPr>
          <w:snapToGrid w:val="0"/>
        </w:rPr>
        <w:t>cm）</w:t>
      </w:r>
      <w:r>
        <w:rPr>
          <w:snapToGrid w:val="0"/>
          <w:spacing w:val="1"/>
        </w:rPr>
        <w:t>。</w:t>
      </w:r>
    </w:p>
    <w:p w14:paraId="0D8105F0">
      <w:pPr>
        <w:pStyle w:val="65"/>
        <w:spacing w:before="156" w:after="156"/>
      </w:pPr>
      <w:bookmarkStart w:id="70" w:name="_Toc231994784"/>
      <w:r>
        <w:rPr>
          <w:rFonts w:hint="eastAsia"/>
        </w:rPr>
        <w:t>样品</w:t>
      </w:r>
      <w:bookmarkEnd w:id="70"/>
    </w:p>
    <w:p w14:paraId="268CCF2A">
      <w:pPr>
        <w:pStyle w:val="164"/>
        <w:numPr>
          <w:ilvl w:val="4"/>
          <w:numId w:val="0"/>
        </w:numPr>
        <w:rPr>
          <w:snapToGrid w:val="0"/>
        </w:rPr>
      </w:pPr>
      <w:r>
        <w:rPr>
          <w:rFonts w:hint="eastAsia"/>
          <w:snapToGrid w:val="0"/>
        </w:rPr>
        <w:t xml:space="preserve">  同5.2.4。</w:t>
      </w:r>
    </w:p>
    <w:p w14:paraId="4D2E5478">
      <w:pPr>
        <w:pStyle w:val="65"/>
        <w:spacing w:before="156" w:after="156"/>
      </w:pPr>
      <w:bookmarkStart w:id="71" w:name="_Toc231994785"/>
      <w:r>
        <w:t>试剂和材料</w:t>
      </w:r>
      <w:bookmarkEnd w:id="71"/>
    </w:p>
    <w:p w14:paraId="4E8BF8AA">
      <w:pPr>
        <w:pStyle w:val="164"/>
        <w:rPr>
          <w:szCs w:val="21"/>
        </w:rPr>
      </w:pPr>
      <w:r>
        <w:rPr>
          <w:rFonts w:hint="eastAsia"/>
          <w:szCs w:val="21"/>
        </w:rPr>
        <w:t>对照样品：根据肥料样品测定出来的总氮含量、尿素含量，准确配制对应肥料样品的对照样品。</w:t>
      </w:r>
      <w:r>
        <w:rPr>
          <w:rFonts w:hint="eastAsia"/>
          <w:color w:val="0000FF"/>
          <w:szCs w:val="21"/>
        </w:rPr>
        <w:t>对照样品的配制方案参见</w:t>
      </w:r>
      <w:r>
        <w:rPr>
          <w:rFonts w:hint="eastAsia"/>
          <w:color w:val="0000FF"/>
        </w:rPr>
        <w:t>附录A中对照样品称取方法示例A.3和A.4。</w:t>
      </w:r>
    </w:p>
    <w:p w14:paraId="5E5A448B">
      <w:pPr>
        <w:pStyle w:val="164"/>
        <w:rPr>
          <w:rFonts w:ascii="Times New Roman"/>
          <w:snapToGrid w:val="0"/>
          <w:spacing w:val="-3"/>
          <w:szCs w:val="21"/>
        </w:rPr>
      </w:pPr>
      <w:r>
        <w:rPr>
          <w:szCs w:val="21"/>
        </w:rPr>
        <w:t>肥料工作溶液：称取对应质量的肥料样品及其对照样品，溶解后定容于1000 mL容量瓶中，混匀，获得含1.4 g N/L的肥料工作溶液。</w:t>
      </w:r>
    </w:p>
    <w:p w14:paraId="73A1D5B3">
      <w:pPr>
        <w:pStyle w:val="164"/>
        <w:rPr>
          <w:rFonts w:ascii="Times New Roman"/>
          <w:snapToGrid w:val="0"/>
          <w:spacing w:val="-3"/>
          <w:szCs w:val="21"/>
        </w:rPr>
      </w:pPr>
      <w:r>
        <w:rPr>
          <w:szCs w:val="21"/>
        </w:rPr>
        <w:t>磷酸二氢钾溶液（0.2 mol/L）：称取 27.20 g 分析纯的磷酸二氢钾，用蒸馏水溶解，定容至1L，混匀。</w:t>
      </w:r>
    </w:p>
    <w:p w14:paraId="3E78DCD1">
      <w:pPr>
        <w:pStyle w:val="164"/>
        <w:rPr>
          <w:szCs w:val="21"/>
        </w:rPr>
      </w:pPr>
      <w:r>
        <w:rPr>
          <w:rFonts w:hint="eastAsia"/>
          <w:szCs w:val="21"/>
        </w:rPr>
        <w:t>磷酸氢二钾溶液（0.2 mol/L）：称取 34.80 g 分析纯的磷酸氢二钾，用蒸馏水溶解，定容至1L</w:t>
      </w:r>
      <w:r>
        <w:rPr>
          <w:rFonts w:hint="eastAsia"/>
          <w:color w:val="1D41D5"/>
        </w:rPr>
        <w:t>，混匀</w:t>
      </w:r>
      <w:r>
        <w:rPr>
          <w:rFonts w:hint="eastAsia"/>
          <w:szCs w:val="21"/>
        </w:rPr>
        <w:t>。</w:t>
      </w:r>
    </w:p>
    <w:p w14:paraId="1FB50F70">
      <w:pPr>
        <w:pStyle w:val="164"/>
        <w:rPr>
          <w:szCs w:val="21"/>
        </w:rPr>
      </w:pPr>
      <w:r>
        <w:rPr>
          <w:rFonts w:hint="eastAsia"/>
          <w:szCs w:val="21"/>
        </w:rPr>
        <w:t>贮备液A：量取28 mL磷酸二氢钾溶液（5.</w:t>
      </w:r>
      <w:r>
        <w:rPr>
          <w:szCs w:val="21"/>
        </w:rPr>
        <w:t>3</w:t>
      </w:r>
      <w:r>
        <w:rPr>
          <w:rFonts w:hint="eastAsia"/>
          <w:szCs w:val="21"/>
        </w:rPr>
        <w:t>.</w:t>
      </w:r>
      <w:r>
        <w:rPr>
          <w:szCs w:val="21"/>
        </w:rPr>
        <w:t>4</w:t>
      </w:r>
      <w:r>
        <w:rPr>
          <w:rFonts w:hint="eastAsia"/>
          <w:szCs w:val="21"/>
        </w:rPr>
        <w:t>.</w:t>
      </w:r>
      <w:r>
        <w:rPr>
          <w:szCs w:val="21"/>
        </w:rPr>
        <w:t>3</w:t>
      </w:r>
      <w:r>
        <w:rPr>
          <w:rFonts w:hint="eastAsia"/>
          <w:szCs w:val="21"/>
        </w:rPr>
        <w:t>）和72 mL磷酸</w:t>
      </w:r>
      <w:r>
        <w:rPr>
          <w:rFonts w:hint="eastAsia"/>
          <w:color w:val="1D41D5"/>
          <w:szCs w:val="21"/>
        </w:rPr>
        <w:t>氢二</w:t>
      </w:r>
      <w:r>
        <w:rPr>
          <w:rFonts w:hint="eastAsia"/>
          <w:szCs w:val="21"/>
        </w:rPr>
        <w:t>钾溶液（</w:t>
      </w:r>
      <w:r>
        <w:rPr>
          <w:szCs w:val="21"/>
        </w:rPr>
        <w:t>5</w:t>
      </w:r>
      <w:r>
        <w:rPr>
          <w:rFonts w:hint="eastAsia"/>
          <w:szCs w:val="21"/>
        </w:rPr>
        <w:t>.</w:t>
      </w:r>
      <w:r>
        <w:rPr>
          <w:szCs w:val="21"/>
        </w:rPr>
        <w:t>3</w:t>
      </w:r>
      <w:r>
        <w:rPr>
          <w:rFonts w:hint="eastAsia"/>
          <w:szCs w:val="21"/>
        </w:rPr>
        <w:t>.</w:t>
      </w:r>
      <w:r>
        <w:rPr>
          <w:szCs w:val="21"/>
        </w:rPr>
        <w:t>4</w:t>
      </w:r>
      <w:r>
        <w:rPr>
          <w:rFonts w:hint="eastAsia"/>
          <w:szCs w:val="21"/>
        </w:rPr>
        <w:t>.</w:t>
      </w:r>
      <w:r>
        <w:rPr>
          <w:szCs w:val="21"/>
        </w:rPr>
        <w:t>4</w:t>
      </w:r>
      <w:r>
        <w:rPr>
          <w:rFonts w:hint="eastAsia"/>
          <w:szCs w:val="21"/>
        </w:rPr>
        <w:t>）至烧杯中，再加100 mL蒸馏水混匀。</w:t>
      </w:r>
    </w:p>
    <w:p w14:paraId="026303EC">
      <w:pPr>
        <w:pStyle w:val="164"/>
        <w:rPr>
          <w:szCs w:val="21"/>
        </w:rPr>
      </w:pPr>
      <w:r>
        <w:rPr>
          <w:rFonts w:hint="eastAsia"/>
          <w:szCs w:val="21"/>
        </w:rPr>
        <w:t>氯酸钠溶液（0.5 mol/L）：称取5.322 g 分析纯氯酸钠，用蒸馏水稀释定容至 100 mL</w:t>
      </w:r>
      <w:r>
        <w:rPr>
          <w:rFonts w:hint="eastAsia"/>
          <w:color w:val="1D41D5"/>
        </w:rPr>
        <w:t>，混匀</w:t>
      </w:r>
      <w:r>
        <w:rPr>
          <w:rFonts w:hint="eastAsia"/>
          <w:szCs w:val="21"/>
        </w:rPr>
        <w:t>。</w:t>
      </w:r>
    </w:p>
    <w:p w14:paraId="536EC0BB">
      <w:pPr>
        <w:pStyle w:val="164"/>
        <w:rPr>
          <w:szCs w:val="21"/>
        </w:rPr>
      </w:pPr>
      <w:r>
        <w:rPr>
          <w:rFonts w:hint="eastAsia"/>
          <w:szCs w:val="21"/>
        </w:rPr>
        <w:t>培养介质溶液：量取贮备液A 10 mL和氯酸钠溶液10-30 mL，溶解于800 mL水中，加入30 mL肥料工作液，再用蒸馏水定容至1 L</w:t>
      </w:r>
      <w:r>
        <w:rPr>
          <w:rFonts w:hint="eastAsia"/>
          <w:color w:val="1D41D5"/>
        </w:rPr>
        <w:t>，混匀</w:t>
      </w:r>
      <w:r>
        <w:rPr>
          <w:rFonts w:hint="eastAsia"/>
          <w:szCs w:val="21"/>
        </w:rPr>
        <w:t>。该培养介质包含1mmol/L的磷酸钾缓冲溶液、5-15 mmol/L的氯酸钠溶液和42 mg /L的氮溶液。同时配置不含肥料工作溶液的空白介质溶液。</w:t>
      </w:r>
    </w:p>
    <w:p w14:paraId="0EB63C53">
      <w:pPr>
        <w:pStyle w:val="164"/>
        <w:rPr>
          <w:szCs w:val="21"/>
        </w:rPr>
      </w:pPr>
      <w:r>
        <w:rPr>
          <w:rFonts w:hint="eastAsia"/>
          <w:szCs w:val="21"/>
        </w:rPr>
        <w:t>氯化钾溶液（2 mol/L）：称取149.1 g 分析纯氯化钾, 用蒸馏水稀释定容至 1 L</w:t>
      </w:r>
      <w:r>
        <w:rPr>
          <w:rFonts w:hint="eastAsia"/>
          <w:color w:val="1D41D5"/>
        </w:rPr>
        <w:t>，混匀</w:t>
      </w:r>
      <w:r>
        <w:rPr>
          <w:rFonts w:hint="eastAsia"/>
          <w:szCs w:val="21"/>
        </w:rPr>
        <w:t>。</w:t>
      </w:r>
    </w:p>
    <w:p w14:paraId="4E846D1B">
      <w:pPr>
        <w:pStyle w:val="164"/>
        <w:rPr>
          <w:szCs w:val="21"/>
        </w:rPr>
      </w:pPr>
      <w:r>
        <w:rPr>
          <w:rFonts w:hint="eastAsia"/>
          <w:szCs w:val="21"/>
        </w:rPr>
        <w:t xml:space="preserve"> </w:t>
      </w:r>
      <w:r>
        <w:rPr>
          <w:rFonts w:hint="eastAsia" w:hAnsi="宋体" w:cs="宋体"/>
          <w:spacing w:val="-6"/>
          <w:szCs w:val="21"/>
        </w:rPr>
        <w:t>亚硝态氮标准</w:t>
      </w:r>
      <w:r>
        <w:rPr>
          <w:rFonts w:hint="eastAsia" w:hAnsi="宋体" w:cs="宋体"/>
          <w:kern w:val="2"/>
          <w:szCs w:val="21"/>
        </w:rPr>
        <w:t>贮备</w:t>
      </w:r>
      <w:r>
        <w:rPr>
          <w:rFonts w:hint="eastAsia" w:hAnsi="宋体" w:cs="宋体"/>
          <w:spacing w:val="-6"/>
          <w:szCs w:val="21"/>
        </w:rPr>
        <w:t>溶液（</w:t>
      </w:r>
      <w:r>
        <w:rPr>
          <w:rFonts w:ascii="Times New Roman"/>
          <w:spacing w:val="-6"/>
          <w:szCs w:val="21"/>
        </w:rPr>
        <w:t>1</w:t>
      </w:r>
      <w:r>
        <w:rPr>
          <w:rFonts w:hint="eastAsia" w:ascii="Times New Roman"/>
          <w:spacing w:val="-6"/>
          <w:szCs w:val="21"/>
        </w:rPr>
        <w:t xml:space="preserve"> </w:t>
      </w:r>
      <w:r>
        <w:rPr>
          <w:rFonts w:ascii="Times New Roman"/>
          <w:spacing w:val="-6"/>
          <w:szCs w:val="21"/>
        </w:rPr>
        <w:t>g/L</w:t>
      </w:r>
      <w:r>
        <w:rPr>
          <w:rFonts w:hint="eastAsia" w:hAnsi="宋体" w:cs="宋体"/>
          <w:spacing w:val="-6"/>
          <w:szCs w:val="21"/>
        </w:rPr>
        <w:t>）：称取</w:t>
      </w:r>
      <w:r>
        <w:rPr>
          <w:rFonts w:ascii="Times New Roman"/>
          <w:spacing w:val="-6"/>
          <w:szCs w:val="21"/>
        </w:rPr>
        <w:t>0.4926</w:t>
      </w:r>
      <w:r>
        <w:rPr>
          <w:rFonts w:hint="eastAsia" w:ascii="Times New Roman"/>
          <w:spacing w:val="-6"/>
          <w:szCs w:val="21"/>
        </w:rPr>
        <w:t xml:space="preserve"> </w:t>
      </w:r>
      <w:r>
        <w:rPr>
          <w:rFonts w:ascii="Times New Roman"/>
          <w:spacing w:val="-6"/>
          <w:szCs w:val="21"/>
        </w:rPr>
        <w:t xml:space="preserve">g </w:t>
      </w:r>
      <w:r>
        <w:rPr>
          <w:rFonts w:hint="eastAsia" w:hAnsi="宋体" w:cs="宋体"/>
          <w:spacing w:val="-6"/>
          <w:szCs w:val="21"/>
        </w:rPr>
        <w:t>亚硝酸钠（分析纯）溶解于</w:t>
      </w:r>
      <w:r>
        <w:rPr>
          <w:rFonts w:ascii="Times New Roman"/>
          <w:spacing w:val="-6"/>
          <w:szCs w:val="21"/>
        </w:rPr>
        <w:t>50 mL</w:t>
      </w:r>
      <w:r>
        <w:rPr>
          <w:rFonts w:hint="eastAsia" w:hAnsi="宋体" w:cs="宋体"/>
          <w:spacing w:val="-6"/>
          <w:szCs w:val="21"/>
        </w:rPr>
        <w:t>水中，定容至</w:t>
      </w:r>
      <w:r>
        <w:rPr>
          <w:rFonts w:ascii="Times New Roman"/>
          <w:spacing w:val="-6"/>
          <w:szCs w:val="21"/>
        </w:rPr>
        <w:t>100 m</w:t>
      </w:r>
      <w:r>
        <w:rPr>
          <w:rFonts w:hint="eastAsia" w:ascii="Times New Roman"/>
          <w:spacing w:val="-6"/>
          <w:szCs w:val="21"/>
        </w:rPr>
        <w:t>L</w:t>
      </w:r>
      <w:r>
        <w:rPr>
          <w:rFonts w:hint="eastAsia"/>
          <w:color w:val="1D41D5"/>
        </w:rPr>
        <w:t>，混匀，</w:t>
      </w:r>
      <w:r>
        <w:rPr>
          <w:rFonts w:ascii="Times New Roman"/>
          <w:spacing w:val="-6"/>
          <w:szCs w:val="21"/>
        </w:rPr>
        <w:t>4℃</w:t>
      </w:r>
      <w:r>
        <w:rPr>
          <w:rFonts w:hint="eastAsia" w:hAnsi="宋体" w:cs="宋体"/>
          <w:spacing w:val="-6"/>
          <w:szCs w:val="21"/>
        </w:rPr>
        <w:t>冰箱中避光保存，可放置</w:t>
      </w:r>
      <w:r>
        <w:rPr>
          <w:rFonts w:ascii="Times New Roman"/>
          <w:spacing w:val="-6"/>
          <w:szCs w:val="21"/>
        </w:rPr>
        <w:t>6</w:t>
      </w:r>
      <w:r>
        <w:rPr>
          <w:rFonts w:hint="eastAsia" w:hAnsi="宋体" w:cs="宋体"/>
          <w:spacing w:val="-6"/>
          <w:szCs w:val="21"/>
        </w:rPr>
        <w:t>个月。</w:t>
      </w:r>
    </w:p>
    <w:p w14:paraId="2A6947DB">
      <w:pPr>
        <w:pStyle w:val="164"/>
        <w:rPr>
          <w:szCs w:val="21"/>
        </w:rPr>
      </w:pPr>
      <w:r>
        <w:rPr>
          <w:rFonts w:hint="eastAsia" w:ascii="Times New Roman"/>
          <w:szCs w:val="21"/>
        </w:rPr>
        <w:t>磺胺溶液（C</w:t>
      </w:r>
      <w:r>
        <w:rPr>
          <w:rFonts w:hint="eastAsia" w:ascii="Times New Roman"/>
          <w:szCs w:val="21"/>
          <w:vertAlign w:val="subscript"/>
        </w:rPr>
        <w:t>6</w:t>
      </w:r>
      <w:r>
        <w:rPr>
          <w:rFonts w:hint="eastAsia" w:ascii="Times New Roman"/>
          <w:szCs w:val="21"/>
        </w:rPr>
        <w:t>H</w:t>
      </w:r>
      <w:r>
        <w:rPr>
          <w:rFonts w:hint="eastAsia" w:ascii="Times New Roman"/>
          <w:szCs w:val="21"/>
          <w:vertAlign w:val="subscript"/>
        </w:rPr>
        <w:t>8</w:t>
      </w:r>
      <w:r>
        <w:rPr>
          <w:rFonts w:hint="eastAsia" w:ascii="Times New Roman"/>
          <w:szCs w:val="21"/>
        </w:rPr>
        <w:t>N</w:t>
      </w:r>
      <w:r>
        <w:rPr>
          <w:rFonts w:hint="eastAsia" w:ascii="Times New Roman"/>
          <w:szCs w:val="21"/>
          <w:vertAlign w:val="subscript"/>
        </w:rPr>
        <w:t>2</w:t>
      </w:r>
      <w:r>
        <w:rPr>
          <w:rFonts w:hint="eastAsia" w:ascii="Times New Roman"/>
          <w:szCs w:val="21"/>
        </w:rPr>
        <w:t>O</w:t>
      </w:r>
      <w:r>
        <w:rPr>
          <w:rFonts w:hint="eastAsia" w:ascii="Times New Roman"/>
          <w:szCs w:val="21"/>
          <w:vertAlign w:val="subscript"/>
        </w:rPr>
        <w:t>2</w:t>
      </w:r>
      <w:r>
        <w:rPr>
          <w:rFonts w:hint="eastAsia" w:ascii="Times New Roman"/>
          <w:szCs w:val="21"/>
        </w:rPr>
        <w:t>S，</w:t>
      </w:r>
      <w:r>
        <w:rPr>
          <w:rFonts w:ascii="Times New Roman"/>
          <w:szCs w:val="21"/>
          <w:shd w:val="clear" w:color="auto" w:fill="FFFFFF"/>
        </w:rPr>
        <w:t>重氮化试剂</w:t>
      </w:r>
      <w:r>
        <w:rPr>
          <w:rFonts w:hint="eastAsia" w:ascii="Times New Roman"/>
          <w:color w:val="1D41D5"/>
          <w:szCs w:val="21"/>
          <w:shd w:val="clear" w:color="auto" w:fill="FFFFFF"/>
        </w:rPr>
        <w:t>）</w:t>
      </w:r>
      <w:r>
        <w:rPr>
          <w:rFonts w:hint="eastAsia"/>
          <w:szCs w:val="21"/>
        </w:rPr>
        <w:t>：向1000 mL容量瓶中加入600 mL水，再加入200 mL浓磷酸，再加入80 g磺胺，定容后混匀。该溶液4℃可保存1年。</w:t>
      </w:r>
    </w:p>
    <w:p w14:paraId="7A3488C3">
      <w:pPr>
        <w:pStyle w:val="164"/>
        <w:rPr>
          <w:szCs w:val="21"/>
        </w:rPr>
      </w:pPr>
      <w:r>
        <w:rPr>
          <w:rFonts w:hint="eastAsia" w:ascii="Times New Roman"/>
          <w:szCs w:val="21"/>
        </w:rPr>
        <w:t>盐酸N-（1-萘基）-乙二胺溶液（C</w:t>
      </w:r>
      <w:r>
        <w:rPr>
          <w:rFonts w:hint="eastAsia" w:ascii="Times New Roman"/>
          <w:szCs w:val="21"/>
          <w:vertAlign w:val="subscript"/>
        </w:rPr>
        <w:t>12</w:t>
      </w:r>
      <w:r>
        <w:rPr>
          <w:rFonts w:hint="eastAsia" w:ascii="Times New Roman"/>
          <w:szCs w:val="21"/>
        </w:rPr>
        <w:t>H</w:t>
      </w:r>
      <w:r>
        <w:rPr>
          <w:rFonts w:hint="eastAsia" w:ascii="Times New Roman"/>
          <w:szCs w:val="21"/>
          <w:vertAlign w:val="subscript"/>
        </w:rPr>
        <w:t>14</w:t>
      </w:r>
      <w:r>
        <w:rPr>
          <w:rFonts w:hint="eastAsia" w:ascii="Times New Roman"/>
          <w:szCs w:val="21"/>
        </w:rPr>
        <w:t>N</w:t>
      </w:r>
      <w:r>
        <w:rPr>
          <w:rFonts w:hint="eastAsia" w:ascii="Times New Roman"/>
          <w:szCs w:val="21"/>
          <w:vertAlign w:val="subscript"/>
        </w:rPr>
        <w:t>2</w:t>
      </w:r>
      <w:r>
        <w:rPr>
          <w:rFonts w:hint="eastAsia" w:hAnsi="宋体" w:cs="宋体"/>
          <w:szCs w:val="21"/>
        </w:rPr>
        <w:t>·</w:t>
      </w:r>
      <w:r>
        <w:rPr>
          <w:rFonts w:hint="eastAsia" w:ascii="Times New Roman"/>
          <w:szCs w:val="21"/>
        </w:rPr>
        <w:t>2HCl，</w:t>
      </w:r>
      <w:r>
        <w:rPr>
          <w:rFonts w:ascii="Times New Roman"/>
          <w:szCs w:val="21"/>
          <w:shd w:val="clear" w:color="auto" w:fill="FFFFFF"/>
        </w:rPr>
        <w:t>NEDA</w:t>
      </w:r>
      <w:r>
        <w:rPr>
          <w:rFonts w:hint="eastAsia" w:ascii="Times New Roman"/>
          <w:szCs w:val="21"/>
          <w:shd w:val="clear" w:color="auto" w:fill="FFFFFF"/>
        </w:rPr>
        <w:t>，</w:t>
      </w:r>
      <w:r>
        <w:rPr>
          <w:rFonts w:ascii="Times New Roman"/>
          <w:szCs w:val="21"/>
          <w:shd w:val="clear" w:color="auto" w:fill="FFFFFF"/>
        </w:rPr>
        <w:t>偶合试剂</w:t>
      </w:r>
      <w:r>
        <w:rPr>
          <w:rFonts w:hint="eastAsia" w:ascii="Times New Roman"/>
          <w:szCs w:val="21"/>
        </w:rPr>
        <w:t>）</w:t>
      </w:r>
      <w:r>
        <w:rPr>
          <w:rFonts w:hint="eastAsia"/>
          <w:szCs w:val="21"/>
        </w:rPr>
        <w:t>：称取0.40 g盐酸N-（1-萘基）-乙二胺溶于100 mL水中。4℃冰箱中保存，当溶液颜色变深时停止使用。</w:t>
      </w:r>
    </w:p>
    <w:p w14:paraId="7B11A4B7">
      <w:pPr>
        <w:pStyle w:val="164"/>
        <w:rPr>
          <w:szCs w:val="21"/>
        </w:rPr>
      </w:pPr>
      <w:r>
        <w:rPr>
          <w:rFonts w:hint="eastAsia"/>
          <w:szCs w:val="21"/>
        </w:rPr>
        <w:t>显色剂：量取20 mL磺胺溶液、20 mL（1-萘基）-乙二胺盐酸溶液、20 mL浓磷酸，混匀，4 ℃保存于棕色试剂瓶中。该溶液应该是无色的，变色后停止使用。</w:t>
      </w:r>
    </w:p>
    <w:p w14:paraId="26F35BC8">
      <w:pPr>
        <w:pStyle w:val="164"/>
        <w:rPr>
          <w:szCs w:val="21"/>
        </w:rPr>
      </w:pPr>
      <w:r>
        <w:rPr>
          <w:rFonts w:hint="eastAsia"/>
          <w:szCs w:val="21"/>
        </w:rPr>
        <w:t>碳酸氢钠（5 mmol/L）：称取 0.42 g 分析纯的碳酸氢钠，用蒸馏水溶解、定容至1 L</w:t>
      </w:r>
      <w:r>
        <w:rPr>
          <w:rFonts w:hint="eastAsia"/>
          <w:color w:val="1D41D5"/>
        </w:rPr>
        <w:t>，混匀</w:t>
      </w:r>
      <w:r>
        <w:rPr>
          <w:rFonts w:hint="eastAsia"/>
          <w:szCs w:val="21"/>
        </w:rPr>
        <w:t>。</w:t>
      </w:r>
    </w:p>
    <w:p w14:paraId="4C79B172">
      <w:pPr>
        <w:pStyle w:val="179"/>
      </w:pPr>
      <w:r>
        <w:rPr>
          <w:rFonts w:hint="eastAsia"/>
        </w:rPr>
        <w:t>当培养介质溶液需要碳源时，例如待测土壤的硝氮水平较高，在试验介质中加入10 mL碳酸氢钠溶液，然后再定容到1L，混匀。肥料中的碳能促进氨氧化过程，进而促进亚硝态氮积累，</w:t>
      </w:r>
      <w:r>
        <w:rPr>
          <w:rFonts w:hint="eastAsia"/>
          <w:color w:val="FF0000"/>
        </w:rPr>
        <w:t>因此若肥料样品原料中含有碳酸氢铵或其它含碳物质，生产企业应主动说明其碳含量，用于准确配制肥料样品的对照</w:t>
      </w:r>
      <w:r>
        <w:rPr>
          <w:rFonts w:hint="eastAsia"/>
        </w:rPr>
        <w:t>。</w:t>
      </w:r>
    </w:p>
    <w:p w14:paraId="4F275B43">
      <w:pPr>
        <w:pStyle w:val="164"/>
      </w:pPr>
      <w:r>
        <w:rPr>
          <w:rFonts w:hint="eastAsia"/>
          <w:szCs w:val="21"/>
        </w:rPr>
        <w:t>土壤：</w:t>
      </w:r>
      <w:r>
        <w:rPr>
          <w:rFonts w:hint="eastAsia"/>
          <w:color w:val="0000FF"/>
        </w:rPr>
        <w:t>按NY/T 1121.1中的方法采集未施肥料两个月以上的耕层土壤（0-20 cm），带回实验室过2mm筛、混匀后直接使用，或者风干、研磨、过1mm筛、混匀备用。同时，供试土壤应符合GB/T 41223中的土壤要求。</w:t>
      </w:r>
    </w:p>
    <w:p w14:paraId="0A1D242A">
      <w:pPr>
        <w:pStyle w:val="65"/>
        <w:spacing w:before="156" w:after="156"/>
      </w:pPr>
      <w:bookmarkStart w:id="72" w:name="_Toc231994786"/>
      <w:r>
        <w:rPr>
          <w:rFonts w:hint="eastAsia"/>
        </w:rPr>
        <w:t>测定</w:t>
      </w:r>
      <w:r>
        <w:t>步骤</w:t>
      </w:r>
      <w:bookmarkEnd w:id="72"/>
    </w:p>
    <w:p w14:paraId="14AA20AD">
      <w:pPr>
        <w:pStyle w:val="94"/>
        <w:spacing w:before="156" w:after="156"/>
        <w:rPr>
          <w:snapToGrid w:val="0"/>
        </w:rPr>
      </w:pPr>
      <w:r>
        <w:rPr>
          <w:rFonts w:hint="eastAsia"/>
          <w:snapToGrid w:val="0"/>
        </w:rPr>
        <w:t>肥料中总氮含量的测定</w:t>
      </w:r>
    </w:p>
    <w:p w14:paraId="35ABFDE0">
      <w:pPr>
        <w:pStyle w:val="56"/>
        <w:ind w:firstLine="420"/>
        <w:rPr>
          <w:color w:val="0000FF"/>
        </w:rPr>
      </w:pPr>
      <w:r>
        <w:rPr>
          <w:rFonts w:hint="eastAsia"/>
          <w:color w:val="0000FF"/>
        </w:rPr>
        <w:t>按照GB/T 8572或GB/T 42955或GB/T 22923中的方法测定，</w:t>
      </w:r>
      <w:r>
        <w:rPr>
          <w:rFonts w:hint="eastAsia"/>
          <w:color w:val="0000FF"/>
          <w:lang w:val="en-US" w:eastAsia="zh-CN"/>
        </w:rPr>
        <w:t>不含碳肥料以</w:t>
      </w:r>
      <w:r>
        <w:rPr>
          <w:rFonts w:hint="eastAsia"/>
          <w:color w:val="0000FF"/>
        </w:rPr>
        <w:t>GB/T 8572</w:t>
      </w:r>
      <w:r>
        <w:rPr>
          <w:rFonts w:hint="eastAsia" w:ascii="宋体" w:hAnsi="宋体" w:cs="宋体"/>
          <w:color w:val="0000FF"/>
          <w:szCs w:val="21"/>
        </w:rPr>
        <w:t>为仲裁法</w:t>
      </w:r>
      <w:r>
        <w:rPr>
          <w:rFonts w:hint="eastAsia" w:ascii="宋体" w:hAnsi="宋体" w:cs="宋体"/>
          <w:color w:val="0000FF"/>
          <w:szCs w:val="21"/>
          <w:lang w:eastAsia="zh-CN"/>
        </w:rPr>
        <w:t>，</w:t>
      </w:r>
      <w:r>
        <w:rPr>
          <w:rFonts w:hint="eastAsia"/>
          <w:color w:val="0000FF"/>
          <w:lang w:val="en-US" w:eastAsia="zh-CN"/>
        </w:rPr>
        <w:t>含碳肥料</w:t>
      </w:r>
      <w:r>
        <w:rPr>
          <w:rFonts w:hint="eastAsia" w:ascii="宋体" w:hAnsi="宋体" w:cs="宋体"/>
          <w:color w:val="0000FF"/>
          <w:szCs w:val="21"/>
        </w:rPr>
        <w:t xml:space="preserve">以GB/T </w:t>
      </w:r>
      <w:r>
        <w:rPr>
          <w:rFonts w:hint="eastAsia"/>
          <w:color w:val="0000FF"/>
        </w:rPr>
        <w:t>42955</w:t>
      </w:r>
      <w:r>
        <w:rPr>
          <w:rFonts w:hint="eastAsia" w:ascii="宋体" w:hAnsi="宋体" w:cs="宋体"/>
          <w:color w:val="0000FF"/>
          <w:szCs w:val="21"/>
        </w:rPr>
        <w:t>为仲裁法</w:t>
      </w:r>
      <w:r>
        <w:rPr>
          <w:rFonts w:hint="eastAsia"/>
          <w:color w:val="0000FF"/>
        </w:rPr>
        <w:t>。</w:t>
      </w:r>
    </w:p>
    <w:p w14:paraId="7C09E4A8">
      <w:pPr>
        <w:pStyle w:val="94"/>
        <w:spacing w:before="156" w:after="156"/>
        <w:rPr>
          <w:snapToGrid w:val="0"/>
        </w:rPr>
      </w:pPr>
      <w:r>
        <w:rPr>
          <w:rFonts w:hint="eastAsia"/>
          <w:snapToGrid w:val="0"/>
        </w:rPr>
        <w:t>肥料中尿素含量的测定</w:t>
      </w:r>
    </w:p>
    <w:p w14:paraId="35D3CE6F">
      <w:pPr>
        <w:pStyle w:val="56"/>
        <w:ind w:firstLine="420"/>
      </w:pPr>
      <w:r>
        <w:rPr>
          <w:rFonts w:hint="eastAsia"/>
        </w:rPr>
        <w:t>按照ISO 19746中的方法测定，见附录B。</w:t>
      </w:r>
    </w:p>
    <w:p w14:paraId="254E0A74">
      <w:pPr>
        <w:pStyle w:val="94"/>
        <w:spacing w:before="156" w:after="156"/>
      </w:pPr>
      <w:r>
        <w:rPr>
          <w:rFonts w:hint="eastAsia"/>
          <w:snapToGrid w:val="0"/>
        </w:rPr>
        <w:t>肥料中硝态氮含量的测定</w:t>
      </w:r>
    </w:p>
    <w:p w14:paraId="4E0C69B9">
      <w:pPr>
        <w:pStyle w:val="56"/>
        <w:ind w:firstLine="420"/>
      </w:pPr>
      <w:r>
        <w:rPr>
          <w:rFonts w:hint="eastAsia"/>
        </w:rPr>
        <w:t>按照GB/T 3597中的方法或GB/T 22923中的方法测定。</w:t>
      </w:r>
    </w:p>
    <w:p w14:paraId="70489C9A">
      <w:pPr>
        <w:pStyle w:val="94"/>
        <w:spacing w:before="156" w:after="156"/>
        <w:rPr>
          <w:snapToGrid w:val="0"/>
        </w:rPr>
      </w:pPr>
      <w:r>
        <w:rPr>
          <w:rFonts w:hint="eastAsia"/>
          <w:snapToGrid w:val="0"/>
        </w:rPr>
        <w:t>硝化潜势差异率的测定</w:t>
      </w:r>
    </w:p>
    <w:p w14:paraId="7FDC318C">
      <w:pPr>
        <w:pStyle w:val="98"/>
        <w:spacing w:before="156" w:after="156"/>
        <w:rPr>
          <w:snapToGrid w:val="0"/>
        </w:rPr>
      </w:pPr>
      <w:r>
        <w:rPr>
          <w:rFonts w:hint="eastAsia"/>
        </w:rPr>
        <w:t>土壤培养及取样</w:t>
      </w:r>
    </w:p>
    <w:p w14:paraId="278651F4">
      <w:pPr>
        <w:pStyle w:val="56"/>
        <w:ind w:firstLine="420"/>
        <w:rPr>
          <w:snapToGrid w:val="0"/>
        </w:rPr>
      </w:pPr>
      <w:r>
        <w:rPr>
          <w:rFonts w:hint="eastAsia"/>
          <w:snapToGrid w:val="0"/>
        </w:rPr>
        <w:t>称取四份25.00 g</w:t>
      </w:r>
      <w:r>
        <w:rPr>
          <w:rFonts w:hint="eastAsia"/>
          <w:snapToGrid w:val="0"/>
          <w:color w:val="0000FF"/>
        </w:rPr>
        <w:t>的鲜土或者20.00 g的风干土</w:t>
      </w:r>
      <w:r>
        <w:rPr>
          <w:rFonts w:hint="eastAsia"/>
          <w:snapToGrid w:val="0"/>
        </w:rPr>
        <w:t>分别置于培养容器中，然后分别加入100 mL培养介质溶液，用Para膜封口后，置于25 ℃、175 r/min震荡 2 h 后，取出10 mL悬浊液置于容器中，再加入10 mL氯化钾溶液混匀以停止氨氧化反应，间歇性用手摇晃5 min，充分混匀后立即过滤，获得待测液。同时每检测一批样品均进行4份土壤空白试样测试，土壤空白试样是在培养容器中加入土和100 mL无肥料氮的空白介质溶液，后续步骤同上。</w:t>
      </w:r>
    </w:p>
    <w:p w14:paraId="48F66AF6">
      <w:pPr>
        <w:pStyle w:val="56"/>
        <w:ind w:firstLine="420"/>
        <w:rPr>
          <w:snapToGrid w:val="0"/>
        </w:rPr>
      </w:pPr>
      <w:r>
        <w:rPr>
          <w:rFonts w:hint="eastAsia"/>
          <w:snapToGrid w:val="0"/>
        </w:rPr>
        <w:t>培养容器中</w:t>
      </w:r>
      <w:r>
        <w:rPr>
          <w:rFonts w:hint="eastAsia"/>
          <w:snapToGrid w:val="0"/>
          <w:color w:val="0000FF"/>
        </w:rPr>
        <w:t>剩余</w:t>
      </w:r>
      <w:r>
        <w:rPr>
          <w:rFonts w:hint="eastAsia"/>
          <w:snapToGrid w:val="0"/>
        </w:rPr>
        <w:t>的土壤悬浊液继续震荡至 6 h，随后取出10 mL悬浊液置于容器中，后续步骤同上。</w:t>
      </w:r>
    </w:p>
    <w:p w14:paraId="63F98EC2">
      <w:pPr>
        <w:pStyle w:val="56"/>
        <w:ind w:firstLine="420"/>
        <w:rPr>
          <w:snapToGrid w:val="0"/>
        </w:rPr>
      </w:pPr>
      <w:r>
        <w:rPr>
          <w:rFonts w:hint="eastAsia"/>
          <w:snapToGrid w:val="0"/>
        </w:rPr>
        <w:t>待测液</w:t>
      </w:r>
      <w:r>
        <w:rPr>
          <w:rFonts w:hint="eastAsia"/>
          <w:snapToGrid w:val="0"/>
          <w:color w:val="1D41D5"/>
        </w:rPr>
        <w:t>应立</w:t>
      </w:r>
      <w:r>
        <w:rPr>
          <w:rFonts w:hint="eastAsia"/>
          <w:snapToGrid w:val="0"/>
        </w:rPr>
        <w:t>即测定或者存储于4℃、24 h内完成测定。</w:t>
      </w:r>
    </w:p>
    <w:p w14:paraId="0589D277">
      <w:pPr>
        <w:pStyle w:val="98"/>
        <w:spacing w:before="156" w:after="156"/>
        <w:rPr>
          <w:snapToGrid w:val="0"/>
        </w:rPr>
      </w:pPr>
      <w:r>
        <w:rPr>
          <w:rFonts w:hint="eastAsia"/>
        </w:rPr>
        <w:t>亚硝态氮系列标准曲线溶液的制</w:t>
      </w:r>
      <w:r>
        <w:rPr>
          <w:rFonts w:hint="eastAsia"/>
          <w:color w:val="1D41D5"/>
        </w:rPr>
        <w:t>备</w:t>
      </w:r>
      <w:r>
        <w:rPr>
          <w:rFonts w:hint="eastAsia"/>
        </w:rPr>
        <w:t>及含量测定</w:t>
      </w:r>
    </w:p>
    <w:p w14:paraId="31916F89">
      <w:pPr>
        <w:pStyle w:val="56"/>
        <w:ind w:firstLine="420"/>
      </w:pPr>
      <w:r>
        <w:rPr>
          <w:rFonts w:hint="eastAsia"/>
        </w:rPr>
        <w:t>按照GB/T 42485 中的方法测定。分别吸取0</w:t>
      </w:r>
      <w:r>
        <w:t xml:space="preserve"> mL</w:t>
      </w:r>
      <w:r>
        <w:rPr>
          <w:rFonts w:hint="eastAsia"/>
        </w:rPr>
        <w:t>、0.25</w:t>
      </w:r>
      <w:r>
        <w:t xml:space="preserve"> mL</w:t>
      </w:r>
      <w:r>
        <w:rPr>
          <w:rFonts w:hint="eastAsia"/>
        </w:rPr>
        <w:t>、0.5</w:t>
      </w:r>
      <w:r>
        <w:t xml:space="preserve"> mL</w:t>
      </w:r>
      <w:r>
        <w:rPr>
          <w:rFonts w:hint="eastAsia"/>
        </w:rPr>
        <w:t>、1</w:t>
      </w:r>
      <w:r>
        <w:t xml:space="preserve"> mL</w:t>
      </w:r>
      <w:r>
        <w:rPr>
          <w:rFonts w:hint="eastAsia"/>
        </w:rPr>
        <w:t>、2.5</w:t>
      </w:r>
      <w:r>
        <w:t>mL</w:t>
      </w:r>
      <w:r>
        <w:rPr>
          <w:rFonts w:hint="eastAsia"/>
        </w:rPr>
        <w:t>、5 m</w:t>
      </w:r>
      <w:r>
        <w:t>L</w:t>
      </w:r>
      <w:r>
        <w:rPr>
          <w:rFonts w:hint="eastAsia"/>
        </w:rPr>
        <w:t>的1 mg/L的亚硝态氮标准溶液于50 m</w:t>
      </w:r>
      <w:r>
        <w:t>L</w:t>
      </w:r>
      <w:r>
        <w:rPr>
          <w:rFonts w:hint="eastAsia"/>
        </w:rPr>
        <w:t>容量瓶中。同时，分别吸取5.00 m</w:t>
      </w:r>
      <w:r>
        <w:t>L</w:t>
      </w:r>
      <w:r>
        <w:rPr>
          <w:rFonts w:hint="eastAsia"/>
        </w:rPr>
        <w:t>样品待测液和空白待测液于另一组50 mL容量瓶中。每个容量瓶中均加水至40 mL，混匀后添加显色剂0.46 mL，用蒸馏水定容后混匀。定容后</w:t>
      </w:r>
      <w:r>
        <w:rPr>
          <w:rFonts w:hint="eastAsia"/>
          <w:color w:val="1D41D5"/>
        </w:rPr>
        <w:t>混匀，</w:t>
      </w:r>
      <w:r>
        <w:rPr>
          <w:rFonts w:hint="eastAsia"/>
        </w:rPr>
        <w:t>获得亚硝态氮含量分别为0</w:t>
      </w:r>
      <w:r>
        <w:t xml:space="preserve"> </w:t>
      </w:r>
      <w:r>
        <w:rPr>
          <w:rFonts w:hint="eastAsia"/>
        </w:rPr>
        <w:t>mg/L、0.005</w:t>
      </w:r>
      <w:r>
        <w:t xml:space="preserve"> </w:t>
      </w:r>
      <w:r>
        <w:rPr>
          <w:rFonts w:hint="eastAsia"/>
        </w:rPr>
        <w:t>mg/L、0.01</w:t>
      </w:r>
      <w:r>
        <w:t xml:space="preserve"> </w:t>
      </w:r>
      <w:r>
        <w:rPr>
          <w:rFonts w:hint="eastAsia"/>
        </w:rPr>
        <w:t>mg/L、0.02</w:t>
      </w:r>
      <w:r>
        <w:t xml:space="preserve"> </w:t>
      </w:r>
      <w:r>
        <w:rPr>
          <w:rFonts w:hint="eastAsia"/>
        </w:rPr>
        <w:t>mg/L、0.05</w:t>
      </w:r>
      <w:r>
        <w:t xml:space="preserve"> </w:t>
      </w:r>
      <w:r>
        <w:rPr>
          <w:rFonts w:hint="eastAsia"/>
        </w:rPr>
        <w:t>mg/L、0.1 mg/L的亚硝态氮标准系列溶液以及样品测定溶液和空白测定溶液。</w:t>
      </w:r>
    </w:p>
    <w:p w14:paraId="17BA3EDD">
      <w:pPr>
        <w:pStyle w:val="56"/>
        <w:ind w:firstLine="420"/>
      </w:pPr>
      <w:r>
        <w:rPr>
          <w:rFonts w:hint="eastAsia"/>
        </w:rPr>
        <w:t>定容溶液室温下静置60-90 min后（避光显色），使用分光光度计在543 nm波长下测定标准曲线、样品和空白待测液显色后的吸光值。以亚硝态氮含量（mg/L）为横坐标，扣除零浓度的校正吸光值为纵坐标，绘制标准曲线。根据标准曲线公式计算待测液中亚硝态氮含量。</w:t>
      </w:r>
    </w:p>
    <w:p w14:paraId="30E9D28C">
      <w:pPr>
        <w:pStyle w:val="56"/>
        <w:ind w:firstLine="420"/>
      </w:pPr>
      <w:r>
        <w:rPr>
          <w:rFonts w:hint="eastAsia"/>
        </w:rPr>
        <w:t>如果土壤浸提液中的亚硝态氮浓度超过标准曲线范围，则使用空白介质溶液适当的稀释浸提液，并重新测定。</w:t>
      </w:r>
    </w:p>
    <w:p w14:paraId="72E6B379">
      <w:pPr>
        <w:pStyle w:val="98"/>
        <w:spacing w:before="156" w:after="156"/>
      </w:pPr>
      <w:r>
        <w:rPr>
          <w:rFonts w:hint="eastAsia"/>
        </w:rPr>
        <w:t>分析</w:t>
      </w:r>
      <w:r>
        <w:t>结果的计算和表述</w:t>
      </w:r>
    </w:p>
    <w:p w14:paraId="65A1291F">
      <w:pPr>
        <w:pStyle w:val="94"/>
        <w:numPr>
          <w:ilvl w:val="4"/>
          <w:numId w:val="0"/>
        </w:numPr>
        <w:spacing w:before="156" w:after="156"/>
        <w:rPr>
          <w:snapToGrid w:val="0"/>
          <w:spacing w:val="-5"/>
        </w:rPr>
      </w:pPr>
      <w:r>
        <w:rPr>
          <w:rFonts w:hint="eastAsia"/>
        </w:rPr>
        <w:t>（1）</w:t>
      </w:r>
      <w:r>
        <w:t>亚硝态氮含量的计算</w:t>
      </w:r>
    </w:p>
    <w:p w14:paraId="231C4F05">
      <w:pPr>
        <w:pStyle w:val="56"/>
        <w:ind w:firstLine="420"/>
        <w:rPr>
          <w:snapToGrid w:val="0"/>
          <w:szCs w:val="21"/>
        </w:rPr>
      </w:pPr>
      <w:r>
        <w:rPr>
          <w:rFonts w:hint="eastAsia"/>
          <w:snapToGrid w:val="0"/>
          <w:szCs w:val="21"/>
        </w:rPr>
        <w:t>从标准曲线上查得待测液的亚硝态氮含量后，按式（</w:t>
      </w:r>
      <w:r>
        <w:rPr>
          <w:snapToGrid w:val="0"/>
          <w:szCs w:val="21"/>
        </w:rPr>
        <w:t>3</w:t>
      </w:r>
      <w:r>
        <w:rPr>
          <w:rFonts w:hint="eastAsia"/>
          <w:snapToGrid w:val="0"/>
          <w:szCs w:val="21"/>
        </w:rPr>
        <w:t>）计算土壤中亚硝态氮的含量（X），单位是mg/kg：</w:t>
      </w:r>
    </w:p>
    <w:p w14:paraId="7F056591">
      <w:pPr>
        <w:widowControl/>
        <w:kinsoku w:val="0"/>
        <w:autoSpaceDE w:val="0"/>
        <w:autoSpaceDN w:val="0"/>
        <w:snapToGrid w:val="0"/>
        <w:spacing w:before="120" w:line="276" w:lineRule="auto"/>
        <w:ind w:firstLine="410" w:firstLineChars="200"/>
        <w:jc w:val="center"/>
        <w:textAlignment w:val="baseline"/>
        <w:rPr>
          <w:snapToGrid w:val="0"/>
        </w:rPr>
      </w:pPr>
      <w:r>
        <w:rPr>
          <w:rFonts w:hint="eastAsia" w:ascii="Times New Roman" w:hAnsi="Times New Roman"/>
          <w:b/>
          <w:bCs/>
          <w:snapToGrid w:val="0"/>
          <w:spacing w:val="-3"/>
          <w:kern w:val="0"/>
        </w:rPr>
        <w:t xml:space="preserve">                X </w:t>
      </w:r>
      <w:r>
        <w:rPr>
          <w:rFonts w:ascii="Times New Roman" w:hAnsi="Times New Roman"/>
          <w:b/>
          <w:bCs/>
          <w:snapToGrid w:val="0"/>
          <w:spacing w:val="-3"/>
          <w:kern w:val="0"/>
        </w:rPr>
        <w:t>=</w:t>
      </w:r>
      <w:r>
        <w:rPr>
          <w:rFonts w:hint="eastAsia" w:ascii="Times New Roman" w:hAnsi="Times New Roman"/>
          <w:b/>
          <w:bCs/>
          <w:snapToGrid w:val="0"/>
          <w:spacing w:val="-3"/>
          <w:kern w:val="0"/>
        </w:rPr>
        <w:t xml:space="preserve"> </w:t>
      </w:r>
      <m:oMath>
        <m:r>
          <m:rPr>
            <m:sty m:val="p"/>
          </m:rPr>
          <w:rPr>
            <w:rFonts w:ascii="Times New Roman" w:hAnsi="Times New Roman"/>
            <w:snapToGrid w:val="0"/>
          </w:rPr>
          <m:t>ρ</m:t>
        </m:r>
        <m:r>
          <m:rPr>
            <m:sty m:val="bi"/>
          </m:rPr>
          <w:rPr>
            <w:rFonts w:ascii="Cambria Math" w:hAnsi="Cambria Math"/>
            <w:snapToGrid w:val="0"/>
            <w:spacing w:val="-1"/>
            <w:kern w:val="0"/>
          </w:rPr>
          <m:t>×</m:t>
        </m:r>
        <m:f>
          <m:fPr>
            <m:ctrlPr>
              <w:rPr>
                <w:rFonts w:ascii="Cambria Math" w:hAnsi="Cambria Math"/>
                <w:b/>
                <w:bCs/>
                <w:i/>
                <w:snapToGrid w:val="0"/>
                <w:spacing w:val="-1"/>
                <w:kern w:val="0"/>
              </w:rPr>
            </m:ctrlPr>
          </m:fPr>
          <m:num>
            <m:r>
              <m:rPr>
                <m:sty m:val="bi"/>
              </m:rPr>
              <w:rPr>
                <w:rFonts w:ascii="Cambria Math" w:hAnsi="Cambria Math"/>
                <w:snapToGrid w:val="0"/>
                <w:spacing w:val="-1"/>
                <w:kern w:val="0"/>
              </w:rPr>
              <m:t>V2</m:t>
            </m:r>
            <m:ctrlPr>
              <w:rPr>
                <w:rFonts w:ascii="Cambria Math" w:hAnsi="Cambria Math"/>
                <w:b/>
                <w:bCs/>
                <w:i/>
                <w:snapToGrid w:val="0"/>
                <w:spacing w:val="-1"/>
                <w:kern w:val="0"/>
              </w:rPr>
            </m:ctrlPr>
          </m:num>
          <m:den>
            <m:r>
              <m:rPr>
                <m:sty m:val="bi"/>
              </m:rPr>
              <w:rPr>
                <w:rFonts w:ascii="Cambria Math" w:hAnsi="Cambria Math"/>
                <w:snapToGrid w:val="0"/>
                <w:spacing w:val="-1"/>
                <w:kern w:val="0"/>
              </w:rPr>
              <m:t>m</m:t>
            </m:r>
            <m:ctrlPr>
              <w:rPr>
                <w:rFonts w:ascii="Cambria Math" w:hAnsi="Cambria Math"/>
                <w:b/>
                <w:bCs/>
                <w:i/>
                <w:snapToGrid w:val="0"/>
                <w:spacing w:val="-1"/>
                <w:kern w:val="0"/>
              </w:rPr>
            </m:ctrlPr>
          </m:den>
        </m:f>
        <m:r>
          <m:rPr>
            <m:sty m:val="bi"/>
          </m:rPr>
          <w:rPr>
            <w:rFonts w:ascii="Cambria Math" w:hAnsi="Cambria Math"/>
            <w:snapToGrid w:val="0"/>
            <w:spacing w:val="-1"/>
            <w:kern w:val="0"/>
          </w:rPr>
          <m:t>×</m:t>
        </m:r>
        <m:f>
          <m:fPr>
            <m:ctrlPr>
              <w:rPr>
                <w:rFonts w:ascii="Cambria Math" w:hAnsi="Cambria Math"/>
                <w:b/>
                <w:bCs/>
                <w:i/>
                <w:snapToGrid w:val="0"/>
                <w:spacing w:val="-1"/>
                <w:kern w:val="0"/>
              </w:rPr>
            </m:ctrlPr>
          </m:fPr>
          <m:num>
            <m:r>
              <m:rPr>
                <m:sty m:val="bi"/>
              </m:rPr>
              <w:rPr>
                <w:rFonts w:ascii="Cambria Math" w:hAnsi="Cambria Math"/>
                <w:snapToGrid w:val="0"/>
                <w:spacing w:val="-1"/>
                <w:kern w:val="0"/>
              </w:rPr>
              <m:t>V</m:t>
            </m:r>
            <m:ctrlPr>
              <w:rPr>
                <w:rFonts w:ascii="Cambria Math" w:hAnsi="Cambria Math"/>
                <w:b/>
                <w:bCs/>
                <w:i/>
                <w:snapToGrid w:val="0"/>
                <w:spacing w:val="-1"/>
                <w:kern w:val="0"/>
              </w:rPr>
            </m:ctrlPr>
          </m:num>
          <m:den>
            <m:r>
              <m:rPr>
                <m:sty m:val="bi"/>
              </m:rPr>
              <w:rPr>
                <w:rFonts w:ascii="Cambria Math" w:hAnsi="Cambria Math"/>
                <w:snapToGrid w:val="0"/>
                <w:spacing w:val="-1"/>
                <w:kern w:val="0"/>
              </w:rPr>
              <m:t>V1</m:t>
            </m:r>
            <m:ctrlPr>
              <w:rPr>
                <w:rFonts w:ascii="Cambria Math" w:hAnsi="Cambria Math"/>
                <w:b/>
                <w:bCs/>
                <w:i/>
                <w:snapToGrid w:val="0"/>
                <w:spacing w:val="-1"/>
                <w:kern w:val="0"/>
              </w:rPr>
            </m:ctrlPr>
          </m:den>
        </m:f>
        <m:r>
          <m:rPr>
            <m:sty m:val="bi"/>
          </m:rPr>
          <w:rPr>
            <w:rFonts w:ascii="Cambria Math" w:hAnsi="Cambria Math"/>
            <w:snapToGrid w:val="0"/>
            <w:spacing w:val="-1"/>
            <w:kern w:val="0"/>
          </w:rPr>
          <m:t>×2×</m:t>
        </m:r>
        <m:r>
          <m:rPr>
            <m:nor/>
            <m:sty m:val="b"/>
          </m:rPr>
          <w:rPr>
            <w:rFonts w:hint="eastAsia" w:ascii="Times New Roman" w:hAnsi="Times New Roman"/>
            <w:b/>
            <w:bCs/>
            <w:snapToGrid w:val="0"/>
            <w:spacing w:val="-1"/>
            <w:kern w:val="0"/>
          </w:rPr>
          <m:t>（</m:t>
        </m:r>
        <m:r>
          <m:rPr>
            <m:nor/>
            <m:sty m:val="b"/>
          </m:rPr>
          <w:rPr>
            <w:rFonts w:hint="eastAsia" w:ascii="Cambria Math" w:hAnsi="Cambria Math"/>
            <w:b/>
            <w:bCs/>
            <w:snapToGrid w:val="0"/>
            <w:spacing w:val="-1"/>
            <w:kern w:val="0"/>
          </w:rPr>
          <m:t>1+</m:t>
        </m:r>
        <m:f>
          <m:fPr>
            <m:ctrlPr>
              <w:rPr>
                <w:rFonts w:ascii="Cambria Math" w:hAnsi="Cambria Math"/>
                <w:b/>
                <w:bCs/>
                <w:i/>
                <w:snapToGrid w:val="0"/>
                <w:spacing w:val="-1"/>
                <w:kern w:val="0"/>
              </w:rPr>
            </m:ctrlPr>
          </m:fPr>
          <m:num>
            <m:r>
              <m:rPr>
                <m:sty m:val="bi"/>
              </m:rPr>
              <w:rPr>
                <w:rFonts w:ascii="Cambria Math" w:hAnsi="Cambria Math"/>
                <w:snapToGrid w:val="0"/>
                <w:spacing w:val="-1"/>
                <w:kern w:val="0"/>
              </w:rPr>
              <m:t>w</m:t>
            </m:r>
            <m:ctrlPr>
              <w:rPr>
                <w:rFonts w:ascii="Cambria Math" w:hAnsi="Cambria Math"/>
                <w:b/>
                <w:bCs/>
                <w:i/>
                <w:snapToGrid w:val="0"/>
                <w:spacing w:val="-1"/>
                <w:kern w:val="0"/>
              </w:rPr>
            </m:ctrlPr>
          </m:num>
          <m:den>
            <m:r>
              <m:rPr>
                <m:sty m:val="bi"/>
              </m:rPr>
              <w:rPr>
                <w:rFonts w:ascii="Cambria Math" w:hAnsi="Cambria Math"/>
                <w:snapToGrid w:val="0"/>
                <w:spacing w:val="-1"/>
                <w:kern w:val="0"/>
              </w:rPr>
              <m:t>100</m:t>
            </m:r>
            <m:ctrlPr>
              <w:rPr>
                <w:rFonts w:ascii="Cambria Math" w:hAnsi="Cambria Math"/>
                <w:b/>
                <w:bCs/>
                <w:i/>
                <w:snapToGrid w:val="0"/>
                <w:spacing w:val="-1"/>
                <w:kern w:val="0"/>
              </w:rPr>
            </m:ctrlPr>
          </m:den>
        </m:f>
        <m:r>
          <m:rPr>
            <m:sty m:val="b"/>
          </m:rPr>
          <w:rPr>
            <w:rFonts w:hint="eastAsia" w:ascii="Cambria Math" w:hAnsi="Cambria Math"/>
            <w:snapToGrid w:val="0"/>
            <w:spacing w:val="-1"/>
            <w:kern w:val="0"/>
          </w:rPr>
          <m:t>）</m:t>
        </m:r>
      </m:oMath>
      <w:r>
        <w:rPr>
          <w:rFonts w:ascii="Times New Roman" w:hAnsi="Times New Roman"/>
          <w:b/>
          <w:bCs/>
          <w:snapToGrid w:val="0"/>
          <w:spacing w:val="-3"/>
          <w:kern w:val="0"/>
        </w:rPr>
        <w:t xml:space="preserve"> </w:t>
      </w:r>
      <w:r>
        <w:rPr>
          <w:rFonts w:hint="eastAsia" w:ascii="Times New Roman"/>
          <w:lang w:val="pt-BR"/>
        </w:rPr>
        <w:t>………………………………</w:t>
      </w:r>
      <w:r>
        <w:rPr>
          <w:rFonts w:hint="eastAsia" w:ascii="Times New Roman"/>
        </w:rPr>
        <w:t xml:space="preserve"> </w:t>
      </w:r>
      <w:r>
        <w:rPr>
          <w:rFonts w:ascii="Times New Roman" w:hAnsi="Times New Roman"/>
          <w:snapToGrid w:val="0"/>
          <w:spacing w:val="-56"/>
          <w:kern w:val="0"/>
        </w:rPr>
        <w:t xml:space="preserve"> </w:t>
      </w:r>
      <w:r>
        <w:rPr>
          <w:rFonts w:ascii="Times New Roman" w:hAnsi="Times New Roman"/>
          <w:snapToGrid w:val="0"/>
          <w:spacing w:val="-15"/>
          <w:kern w:val="0"/>
        </w:rPr>
        <w:t>(</w:t>
      </w:r>
      <w:r>
        <w:fldChar w:fldCharType="begin"/>
      </w:r>
      <w:r>
        <w:instrText xml:space="preserve"> HYPERLINK \l "_bookmark3" </w:instrText>
      </w:r>
      <w:r>
        <w:fldChar w:fldCharType="separate"/>
      </w:r>
      <w:r>
        <w:rPr>
          <w:rFonts w:hint="eastAsia" w:ascii="Times New Roman" w:hAnsi="Times New Roman"/>
          <w:snapToGrid w:val="0"/>
          <w:spacing w:val="-15"/>
          <w:kern w:val="0"/>
        </w:rPr>
        <w:t>3</w:t>
      </w:r>
      <w:r>
        <w:rPr>
          <w:rFonts w:ascii="Times New Roman" w:hAnsi="Times New Roman"/>
          <w:snapToGrid w:val="0"/>
          <w:spacing w:val="-15"/>
          <w:kern w:val="0"/>
        </w:rPr>
        <w:t>)</w:t>
      </w:r>
      <w:r>
        <w:rPr>
          <w:rFonts w:ascii="Times New Roman" w:hAnsi="Times New Roman"/>
          <w:snapToGrid w:val="0"/>
          <w:spacing w:val="-15"/>
          <w:kern w:val="0"/>
        </w:rPr>
        <w:fldChar w:fldCharType="end"/>
      </w:r>
    </w:p>
    <w:p w14:paraId="02BF573C">
      <w:pPr>
        <w:pStyle w:val="56"/>
        <w:ind w:firstLine="420"/>
        <w:jc w:val="left"/>
        <w:rPr>
          <w:snapToGrid w:val="0"/>
          <w:szCs w:val="21"/>
        </w:rPr>
      </w:pPr>
      <w:r>
        <w:rPr>
          <w:rFonts w:hint="eastAsia"/>
          <w:snapToGrid w:val="0"/>
          <w:szCs w:val="21"/>
        </w:rPr>
        <w:t>式中：</w:t>
      </w:r>
    </w:p>
    <w:p w14:paraId="2EE1835B">
      <w:pPr>
        <w:pStyle w:val="56"/>
        <w:ind w:firstLine="420"/>
        <w:rPr>
          <w:snapToGrid w:val="0"/>
          <w:szCs w:val="21"/>
        </w:rPr>
      </w:pPr>
      <w:r>
        <w:rPr>
          <w:snapToGrid w:val="0"/>
          <w:szCs w:val="21"/>
        </w:rPr>
        <w:t>ρ</w:t>
      </w:r>
      <w:r>
        <w:rPr>
          <w:rFonts w:hint="eastAsia"/>
          <w:snapToGrid w:val="0"/>
          <w:szCs w:val="21"/>
        </w:rPr>
        <w:t>——待测液中的亚硝态氮浓度，单位为毫克每升（mg/L）；</w:t>
      </w:r>
    </w:p>
    <w:p w14:paraId="313270AF">
      <w:pPr>
        <w:pStyle w:val="56"/>
        <w:ind w:firstLine="420"/>
        <w:rPr>
          <w:snapToGrid w:val="0"/>
          <w:szCs w:val="21"/>
        </w:rPr>
      </w:pPr>
      <w:r>
        <w:rPr>
          <w:rFonts w:hint="eastAsia"/>
          <w:snapToGrid w:val="0"/>
          <w:szCs w:val="21"/>
        </w:rPr>
        <w:t>m——土样质量，单位为克（g）；</w:t>
      </w:r>
    </w:p>
    <w:p w14:paraId="3ECF78F3">
      <w:pPr>
        <w:pStyle w:val="56"/>
        <w:ind w:firstLine="420"/>
        <w:rPr>
          <w:snapToGrid w:val="0"/>
          <w:szCs w:val="21"/>
        </w:rPr>
      </w:pPr>
      <w:r>
        <w:rPr>
          <w:rFonts w:hint="eastAsia"/>
          <w:snapToGrid w:val="0"/>
          <w:szCs w:val="21"/>
        </w:rPr>
        <w:t>V——样品制备溶液的体积（100 mL）；</w:t>
      </w:r>
    </w:p>
    <w:p w14:paraId="7D85E847">
      <w:pPr>
        <w:pStyle w:val="56"/>
        <w:ind w:firstLine="420"/>
        <w:rPr>
          <w:snapToGrid w:val="0"/>
          <w:szCs w:val="21"/>
        </w:rPr>
      </w:pPr>
      <w:r>
        <w:rPr>
          <w:rFonts w:hint="eastAsia"/>
          <w:snapToGrid w:val="0"/>
          <w:szCs w:val="21"/>
        </w:rPr>
        <w:t>V</w:t>
      </w:r>
      <w:r>
        <w:rPr>
          <w:rFonts w:hint="eastAsia"/>
          <w:snapToGrid w:val="0"/>
          <w:szCs w:val="21"/>
          <w:vertAlign w:val="subscript"/>
        </w:rPr>
        <w:t>1</w:t>
      </w:r>
      <w:r>
        <w:rPr>
          <w:rFonts w:hint="eastAsia"/>
          <w:snapToGrid w:val="0"/>
          <w:szCs w:val="21"/>
        </w:rPr>
        <w:t>——吸取的待测液体积（5 mL）；</w:t>
      </w:r>
    </w:p>
    <w:p w14:paraId="4A19AF3F">
      <w:pPr>
        <w:pStyle w:val="56"/>
        <w:ind w:firstLine="420"/>
        <w:rPr>
          <w:snapToGrid w:val="0"/>
          <w:szCs w:val="21"/>
        </w:rPr>
      </w:pPr>
      <w:r>
        <w:rPr>
          <w:rFonts w:hint="eastAsia"/>
          <w:snapToGrid w:val="0"/>
          <w:szCs w:val="21"/>
        </w:rPr>
        <w:t>V</w:t>
      </w:r>
      <w:r>
        <w:rPr>
          <w:rFonts w:hint="eastAsia"/>
          <w:snapToGrid w:val="0"/>
          <w:szCs w:val="21"/>
          <w:vertAlign w:val="subscript"/>
        </w:rPr>
        <w:t>2</w:t>
      </w:r>
      <w:r>
        <w:rPr>
          <w:rFonts w:hint="eastAsia"/>
          <w:snapToGrid w:val="0"/>
          <w:szCs w:val="21"/>
        </w:rPr>
        <w:t>——比色溶液的体积（50 mL）；</w:t>
      </w:r>
    </w:p>
    <w:p w14:paraId="0F3DC995">
      <w:pPr>
        <w:pStyle w:val="56"/>
        <w:ind w:firstLine="420"/>
        <w:rPr>
          <w:snapToGrid w:val="0"/>
          <w:szCs w:val="21"/>
        </w:rPr>
      </w:pPr>
      <w:r>
        <w:rPr>
          <w:rFonts w:hint="eastAsia"/>
          <w:snapToGrid w:val="0"/>
          <w:szCs w:val="21"/>
        </w:rPr>
        <w:t>2——由于加入氯化钾溶液后（</w:t>
      </w:r>
      <w:r>
        <w:rPr>
          <w:snapToGrid w:val="0"/>
          <w:szCs w:val="21"/>
        </w:rPr>
        <w:t>5</w:t>
      </w:r>
      <w:r>
        <w:rPr>
          <w:rFonts w:hint="eastAsia"/>
          <w:snapToGrid w:val="0"/>
          <w:szCs w:val="21"/>
        </w:rPr>
        <w:t>.</w:t>
      </w:r>
      <w:r>
        <w:rPr>
          <w:snapToGrid w:val="0"/>
          <w:szCs w:val="21"/>
        </w:rPr>
        <w:t>3</w:t>
      </w:r>
      <w:r>
        <w:rPr>
          <w:rFonts w:hint="eastAsia"/>
          <w:snapToGrid w:val="0"/>
          <w:szCs w:val="21"/>
        </w:rPr>
        <w:t>.</w:t>
      </w:r>
      <w:r>
        <w:rPr>
          <w:snapToGrid w:val="0"/>
          <w:szCs w:val="21"/>
        </w:rPr>
        <w:t>4</w:t>
      </w:r>
      <w:r>
        <w:rPr>
          <w:rFonts w:hint="eastAsia"/>
          <w:snapToGrid w:val="0"/>
          <w:szCs w:val="21"/>
        </w:rPr>
        <w:t>.</w:t>
      </w:r>
      <w:r>
        <w:rPr>
          <w:snapToGrid w:val="0"/>
          <w:szCs w:val="21"/>
        </w:rPr>
        <w:t>8</w:t>
      </w:r>
      <w:r>
        <w:rPr>
          <w:rFonts w:hint="eastAsia"/>
          <w:snapToGrid w:val="0"/>
          <w:szCs w:val="21"/>
        </w:rPr>
        <w:t>）的稀释倍数；</w:t>
      </w:r>
    </w:p>
    <w:p w14:paraId="0DA30570">
      <w:pPr>
        <w:pStyle w:val="56"/>
        <w:ind w:firstLine="420"/>
        <w:rPr>
          <w:snapToGrid w:val="0"/>
          <w:szCs w:val="21"/>
        </w:rPr>
      </w:pPr>
      <w:r>
        <w:rPr>
          <w:rFonts w:hint="eastAsia"/>
          <w:snapToGrid w:val="0"/>
          <w:szCs w:val="21"/>
        </w:rPr>
        <w:t>w —— 土壤的水分（分析基）含量，%，</w:t>
      </w:r>
      <w:r>
        <w:rPr>
          <w:rFonts w:hint="eastAsia"/>
          <w:snapToGrid w:val="0"/>
          <w:color w:val="1D41D5"/>
          <w:szCs w:val="21"/>
        </w:rPr>
        <w:t>按</w:t>
      </w:r>
      <w:r>
        <w:rPr>
          <w:rFonts w:hint="eastAsia"/>
          <w:color w:val="1D41D5"/>
        </w:rPr>
        <w:t>NY/T 52中的规定</w:t>
      </w:r>
      <w:r>
        <w:rPr>
          <w:rFonts w:hint="eastAsia"/>
          <w:snapToGrid w:val="0"/>
          <w:color w:val="1D41D5"/>
          <w:szCs w:val="21"/>
        </w:rPr>
        <w:t>计算</w:t>
      </w:r>
      <w:r>
        <w:rPr>
          <w:rFonts w:hint="eastAsia"/>
          <w:snapToGrid w:val="0"/>
          <w:szCs w:val="21"/>
        </w:rPr>
        <w:t>。</w:t>
      </w:r>
    </w:p>
    <w:p w14:paraId="56A3589B">
      <w:pPr>
        <w:pStyle w:val="56"/>
        <w:ind w:firstLine="420"/>
        <w:rPr>
          <w:snapToGrid w:val="0"/>
          <w:spacing w:val="-4"/>
          <w:szCs w:val="21"/>
        </w:rPr>
      </w:pPr>
      <w:r>
        <w:rPr>
          <w:rFonts w:hint="eastAsia"/>
          <w:snapToGrid w:val="0"/>
          <w:szCs w:val="21"/>
        </w:rPr>
        <w:t>取</w:t>
      </w:r>
      <w:r>
        <w:rPr>
          <w:rFonts w:hint="eastAsia"/>
          <w:snapToGrid w:val="0"/>
          <w:color w:val="1D41D5"/>
          <w:szCs w:val="21"/>
        </w:rPr>
        <w:t>四</w:t>
      </w:r>
      <w:r>
        <w:rPr>
          <w:rFonts w:hint="eastAsia"/>
          <w:snapToGrid w:val="0"/>
          <w:szCs w:val="21"/>
        </w:rPr>
        <w:t>次平行测定结果的算术平均值为测定结果。</w:t>
      </w:r>
    </w:p>
    <w:p w14:paraId="3AC8B68F">
      <w:pPr>
        <w:pStyle w:val="94"/>
        <w:numPr>
          <w:ilvl w:val="4"/>
          <w:numId w:val="0"/>
        </w:numPr>
        <w:spacing w:before="156" w:after="156"/>
        <w:rPr>
          <w:snapToGrid w:val="0"/>
          <w:spacing w:val="-5"/>
          <w:szCs w:val="21"/>
        </w:rPr>
      </w:pPr>
      <w:r>
        <w:rPr>
          <w:rFonts w:hint="eastAsia"/>
          <w:szCs w:val="21"/>
        </w:rPr>
        <w:t>（2）</w:t>
      </w:r>
      <w:r>
        <w:rPr>
          <w:szCs w:val="21"/>
        </w:rPr>
        <w:t>硝化潜势的计算</w:t>
      </w:r>
    </w:p>
    <w:p w14:paraId="2D113F8F">
      <w:pPr>
        <w:widowControl/>
        <w:kinsoku w:val="0"/>
        <w:autoSpaceDE w:val="0"/>
        <w:autoSpaceDN w:val="0"/>
        <w:snapToGrid w:val="0"/>
        <w:spacing w:before="120" w:line="276" w:lineRule="auto"/>
        <w:ind w:firstLine="392" w:firstLineChars="200"/>
        <w:jc w:val="left"/>
        <w:textAlignment w:val="baseline"/>
        <w:rPr>
          <w:rFonts w:ascii="Times New Roman" w:hAnsi="Times New Roman"/>
          <w:snapToGrid w:val="0"/>
          <w:spacing w:val="-7"/>
          <w:kern w:val="0"/>
        </w:rPr>
      </w:pPr>
      <w:r>
        <w:rPr>
          <w:rFonts w:hint="eastAsia" w:ascii="Times New Roman" w:hAnsi="Times New Roman"/>
          <w:snapToGrid w:val="0"/>
          <w:spacing w:val="-7"/>
          <w:kern w:val="0"/>
        </w:rPr>
        <w:t>硝化潜势按照单位时间内产生的亚硝态氮量计算，单位为mg/ kg/h。</w:t>
      </w:r>
    </w:p>
    <w:p w14:paraId="675038A3">
      <w:pPr>
        <w:adjustRightInd/>
        <w:spacing w:before="120" w:line="276" w:lineRule="auto"/>
        <w:ind w:firstLine="410" w:firstLineChars="200"/>
        <w:jc w:val="center"/>
        <w:rPr>
          <w:rFonts w:ascii="Times New Roman" w:hAnsi="Times New Roman"/>
          <w:snapToGrid w:val="0"/>
          <w:spacing w:val="-4"/>
          <w:kern w:val="0"/>
        </w:rPr>
      </w:pPr>
      <w:r>
        <w:rPr>
          <w:rFonts w:hint="eastAsia" w:hAnsi="Cambria Math"/>
          <w:b/>
          <w:snapToGrid w:val="0"/>
          <w:spacing w:val="-3"/>
          <w:kern w:val="0"/>
        </w:rPr>
        <w:t xml:space="preserve"> </w:t>
      </w:r>
      <m:oMath>
        <m:r>
          <m:rPr>
            <m:sty m:val="b"/>
          </m:rPr>
          <w:rPr>
            <w:rFonts w:ascii="Cambria Math" w:hAnsi="Cambria Math"/>
            <w:snapToGrid w:val="0"/>
            <w:spacing w:val="-3"/>
            <w:kern w:val="0"/>
          </w:rPr>
          <m:t>△</m:t>
        </m:r>
        <m:r>
          <m:rPr>
            <m:sty m:val="b"/>
          </m:rPr>
          <w:rPr>
            <w:rFonts w:hint="eastAsia" w:ascii="Cambria Math" w:hAnsi="Cambria Math"/>
            <w:snapToGrid w:val="0"/>
            <w:spacing w:val="-3"/>
            <w:kern w:val="0"/>
          </w:rPr>
          <m:t>亚硝态氮含量=添加培养介质的土壤亚硝态氮含量</m:t>
        </m:r>
        <m:r>
          <m:rPr>
            <m:sty m:val="b"/>
          </m:rPr>
          <w:rPr>
            <w:rFonts w:ascii="Cambria Math" w:hAnsi="Cambria Math"/>
            <w:snapToGrid w:val="0"/>
            <w:spacing w:val="-3"/>
            <w:kern w:val="0"/>
          </w:rPr>
          <m:t>−</m:t>
        </m:r>
        <m:r>
          <m:rPr>
            <m:sty m:val="b"/>
          </m:rPr>
          <w:rPr>
            <w:rFonts w:hint="eastAsia" w:ascii="Cambria Math" w:hAnsi="Cambria Math"/>
            <w:snapToGrid w:val="0"/>
            <w:spacing w:val="-3"/>
            <w:kern w:val="0"/>
          </w:rPr>
          <m:t>添加空白介质的土壤亚硝态氮含量</m:t>
        </m:r>
      </m:oMath>
      <w:r>
        <w:rPr>
          <w:rFonts w:hint="eastAsia" w:ascii="Times New Roman"/>
          <w:lang w:val="pt-BR"/>
        </w:rPr>
        <w:t>…</w:t>
      </w:r>
      <w:r>
        <w:rPr>
          <w:rFonts w:ascii="Times New Roman" w:hAnsi="Times New Roman"/>
          <w:snapToGrid w:val="0"/>
          <w:spacing w:val="-48"/>
          <w:kern w:val="0"/>
        </w:rPr>
        <w:t xml:space="preserve"> </w:t>
      </w:r>
      <w:r>
        <w:rPr>
          <w:rFonts w:ascii="Times New Roman" w:hAnsi="Times New Roman"/>
          <w:snapToGrid w:val="0"/>
          <w:spacing w:val="-4"/>
          <w:kern w:val="0"/>
        </w:rPr>
        <w:t>(</w:t>
      </w:r>
      <w:r>
        <w:rPr>
          <w:rFonts w:hint="eastAsia" w:ascii="Times New Roman" w:hAnsi="Times New Roman"/>
          <w:snapToGrid w:val="0"/>
          <w:spacing w:val="-4"/>
          <w:kern w:val="0"/>
        </w:rPr>
        <w:t>4</w:t>
      </w:r>
      <w:r>
        <w:rPr>
          <w:rFonts w:ascii="Times New Roman" w:hAnsi="Times New Roman"/>
          <w:snapToGrid w:val="0"/>
          <w:spacing w:val="-4"/>
          <w:kern w:val="0"/>
        </w:rPr>
        <w:t>)</w:t>
      </w:r>
    </w:p>
    <w:p w14:paraId="3CD1528E">
      <w:pPr>
        <w:adjustRightInd/>
        <w:spacing w:before="120" w:line="276" w:lineRule="auto"/>
        <w:ind w:firstLine="422" w:firstLineChars="200"/>
        <w:jc w:val="center"/>
        <w:rPr>
          <w:rFonts w:ascii="Times New Roman" w:hAnsi="Times New Roman" w:eastAsia="等线"/>
          <w:shd w:val="pct15" w:color="auto" w:fill="FFFFFF"/>
        </w:rPr>
      </w:pPr>
      <w:r>
        <w:rPr>
          <w:rFonts w:hint="eastAsia" w:hAnsi="Cambria Math"/>
          <w:b/>
        </w:rPr>
        <w:t xml:space="preserve">                  </w:t>
      </w:r>
      <m:oMath>
        <m:r>
          <m:rPr>
            <m:sty m:val="b"/>
          </m:rPr>
          <w:rPr>
            <w:rFonts w:ascii="Cambria Math" w:hAnsi="Cambria Math"/>
          </w:rPr>
          <m:t>硝化潜</m:t>
        </m:r>
        <m:r>
          <m:rPr>
            <m:sty m:val="b"/>
          </m:rPr>
          <w:rPr>
            <w:rFonts w:ascii="Cambria Math" w:hAnsi="Cambria Math"/>
            <w:snapToGrid w:val="0"/>
            <w:spacing w:val="-4"/>
            <w:kern w:val="0"/>
          </w:rPr>
          <m:t>势</m:t>
        </m:r>
        <m:r>
          <m:rPr>
            <m:sty m:val="p"/>
          </m:rPr>
          <w:rPr>
            <w:rFonts w:ascii="Cambria Math" w:hAnsi="Cambria Math"/>
          </w:rPr>
          <m:t>=</m:t>
        </m:r>
        <m:f>
          <m:fPr>
            <m:ctrlPr>
              <w:rPr>
                <w:rFonts w:ascii="Cambria Math" w:hAnsi="Cambria Math"/>
                <w:b/>
                <w:bCs/>
                <w:iCs/>
              </w:rPr>
            </m:ctrlPr>
          </m:fPr>
          <m:num>
            <m:r>
              <m:rPr>
                <m:sty m:val="b"/>
              </m:rPr>
              <w:rPr>
                <w:rFonts w:ascii="Cambria Math" w:hAnsi="Cambria Math"/>
              </w:rPr>
              <m:t>6 h</m:t>
            </m:r>
            <m:r>
              <m:rPr>
                <m:sty m:val="b"/>
              </m:rPr>
              <w:rPr>
                <w:rFonts w:hint="eastAsia" w:ascii="Cambria Math" w:hAnsi="Cambria Math"/>
              </w:rPr>
              <m:t>的</m:t>
            </m:r>
            <m:r>
              <m:rPr>
                <m:sty m:val="b"/>
              </m:rPr>
              <w:rPr>
                <w:rFonts w:ascii="Cambria Math" w:hAnsi="Cambria Math"/>
                <w:snapToGrid w:val="0"/>
                <w:spacing w:val="-3"/>
                <w:kern w:val="0"/>
              </w:rPr>
              <m:t>△</m:t>
            </m:r>
            <m:r>
              <m:rPr>
                <m:sty m:val="b"/>
              </m:rPr>
              <w:rPr>
                <w:rFonts w:hint="eastAsia" w:ascii="Cambria Math" w:hAnsi="Cambria Math"/>
                <w:snapToGrid w:val="0"/>
                <w:spacing w:val="-3"/>
                <w:kern w:val="0"/>
              </w:rPr>
              <m:t>亚硝态氮含量</m:t>
            </m:r>
            <m:r>
              <m:rPr>
                <m:sty m:val="b"/>
              </m:rPr>
              <w:rPr>
                <w:rFonts w:ascii="Cambria Math" w:hAnsi="Cambria Math"/>
              </w:rPr>
              <m:t>−2 h</m:t>
            </m:r>
            <m:r>
              <m:rPr>
                <m:sty m:val="b"/>
              </m:rPr>
              <w:rPr>
                <w:rFonts w:hint="eastAsia" w:ascii="Cambria Math" w:hAnsi="Cambria Math"/>
              </w:rPr>
              <m:t>的</m:t>
            </m:r>
            <m:r>
              <m:rPr>
                <m:sty m:val="b"/>
              </m:rPr>
              <w:rPr>
                <w:rFonts w:ascii="Cambria Math" w:hAnsi="Cambria Math"/>
                <w:snapToGrid w:val="0"/>
                <w:spacing w:val="-3"/>
                <w:kern w:val="0"/>
              </w:rPr>
              <m:t>△</m:t>
            </m:r>
            <m:r>
              <m:rPr>
                <m:sty m:val="b"/>
              </m:rPr>
              <w:rPr>
                <w:rFonts w:hint="eastAsia" w:ascii="Cambria Math" w:hAnsi="Cambria Math"/>
                <w:snapToGrid w:val="0"/>
                <w:spacing w:val="-3"/>
                <w:kern w:val="0"/>
              </w:rPr>
              <m:t>亚硝态氮含量</m:t>
            </m:r>
            <m:ctrlPr>
              <w:rPr>
                <w:rFonts w:ascii="Cambria Math" w:hAnsi="Cambria Math"/>
                <w:b/>
                <w:bCs/>
                <w:iCs/>
              </w:rPr>
            </m:ctrlPr>
          </m:num>
          <m:den>
            <m:r>
              <m:rPr>
                <m:sty m:val="b"/>
              </m:rPr>
              <w:rPr>
                <w:rFonts w:ascii="Cambria Math" w:hAnsi="Cambria Math"/>
              </w:rPr>
              <m:t>4 h</m:t>
            </m:r>
            <m:ctrlPr>
              <w:rPr>
                <w:rFonts w:ascii="Cambria Math" w:hAnsi="Cambria Math"/>
                <w:b/>
                <w:bCs/>
                <w:iCs/>
              </w:rPr>
            </m:ctrlPr>
          </m:den>
        </m:f>
      </m:oMath>
      <w:r>
        <w:rPr>
          <w:rFonts w:hint="eastAsia" w:ascii="Times New Roman"/>
          <w:lang w:val="pt-BR"/>
        </w:rPr>
        <w:t>………………………………</w:t>
      </w:r>
      <w:r>
        <w:rPr>
          <w:rFonts w:hint="eastAsia" w:ascii="Times New Roman"/>
        </w:rPr>
        <w:t xml:space="preserve"> </w:t>
      </w:r>
      <w:r>
        <w:rPr>
          <w:rFonts w:ascii="Times New Roman" w:hAnsi="Times New Roman"/>
          <w:snapToGrid w:val="0"/>
          <w:spacing w:val="-4"/>
          <w:kern w:val="0"/>
        </w:rPr>
        <w:t>(</w:t>
      </w:r>
      <w:r>
        <w:rPr>
          <w:rFonts w:hint="eastAsia" w:ascii="Times New Roman" w:hAnsi="Times New Roman"/>
          <w:snapToGrid w:val="0"/>
          <w:spacing w:val="-4"/>
          <w:kern w:val="0"/>
        </w:rPr>
        <w:t>5</w:t>
      </w:r>
      <w:r>
        <w:rPr>
          <w:rFonts w:ascii="Times New Roman" w:hAnsi="Times New Roman"/>
          <w:snapToGrid w:val="0"/>
          <w:spacing w:val="-4"/>
          <w:kern w:val="0"/>
        </w:rPr>
        <w:t>)</w:t>
      </w:r>
    </w:p>
    <w:p w14:paraId="1518BCA3">
      <w:pPr>
        <w:pStyle w:val="94"/>
        <w:numPr>
          <w:ilvl w:val="4"/>
          <w:numId w:val="0"/>
        </w:numPr>
        <w:spacing w:before="156" w:after="156"/>
        <w:rPr>
          <w:snapToGrid w:val="0"/>
          <w:spacing w:val="-5"/>
          <w:szCs w:val="21"/>
        </w:rPr>
      </w:pPr>
      <w:r>
        <w:rPr>
          <w:rFonts w:hint="eastAsia"/>
          <w:szCs w:val="21"/>
        </w:rPr>
        <w:t>（3）硝化潜势差异率的计算</w:t>
      </w:r>
    </w:p>
    <w:p w14:paraId="5E59C06D">
      <w:pPr>
        <w:widowControl/>
        <w:kinsoku w:val="0"/>
        <w:autoSpaceDE w:val="0"/>
        <w:autoSpaceDN w:val="0"/>
        <w:snapToGrid w:val="0"/>
        <w:spacing w:before="120" w:line="276" w:lineRule="auto"/>
        <w:ind w:firstLine="412" w:firstLineChars="200"/>
        <w:jc w:val="left"/>
        <w:textAlignment w:val="baseline"/>
        <w:rPr>
          <w:rFonts w:ascii="Times New Roman" w:hAnsi="Times New Roman"/>
          <w:snapToGrid w:val="0"/>
          <w:kern w:val="0"/>
        </w:rPr>
      </w:pPr>
      <w:r>
        <w:rPr>
          <w:rFonts w:ascii="Times New Roman" w:hAnsi="Times New Roman"/>
          <w:snapToGrid w:val="0"/>
          <w:spacing w:val="-2"/>
          <w:kern w:val="0"/>
        </w:rPr>
        <w:t>硝化潜势</w:t>
      </w:r>
      <w:r>
        <w:rPr>
          <w:rFonts w:hint="eastAsia" w:ascii="Times New Roman" w:hAnsi="Times New Roman"/>
          <w:snapToGrid w:val="0"/>
          <w:spacing w:val="-2"/>
          <w:kern w:val="0"/>
        </w:rPr>
        <w:t>差异</w:t>
      </w:r>
      <w:r>
        <w:rPr>
          <w:rFonts w:ascii="Times New Roman" w:hAnsi="Times New Roman"/>
          <w:snapToGrid w:val="0"/>
          <w:spacing w:val="-2"/>
          <w:kern w:val="0"/>
        </w:rPr>
        <w:t>率</w:t>
      </w:r>
      <w:r>
        <w:rPr>
          <w:rFonts w:hint="eastAsia" w:ascii="Times New Roman" w:hAnsi="Times New Roman"/>
          <w:snapToGrid w:val="0"/>
          <w:spacing w:val="-2"/>
          <w:kern w:val="0"/>
        </w:rPr>
        <w:t>按式（6）计算，单位为</w:t>
      </w:r>
      <w:r>
        <w:rPr>
          <w:rFonts w:ascii="Times New Roman" w:hAnsi="Times New Roman"/>
          <w:snapToGrid w:val="0"/>
          <w:spacing w:val="-2"/>
          <w:kern w:val="0"/>
        </w:rPr>
        <w:t>%。</w:t>
      </w:r>
    </w:p>
    <w:p w14:paraId="74E815CB">
      <w:pPr>
        <w:widowControl/>
        <w:kinsoku w:val="0"/>
        <w:autoSpaceDE w:val="0"/>
        <w:autoSpaceDN w:val="0"/>
        <w:snapToGrid w:val="0"/>
        <w:spacing w:before="120" w:line="276" w:lineRule="auto"/>
        <w:ind w:right="231" w:firstLine="418" w:firstLineChars="200"/>
        <w:jc w:val="center"/>
        <w:textAlignment w:val="baseline"/>
        <w:rPr>
          <w:rFonts w:ascii="Times New Roman" w:hAnsi="Times New Roman"/>
          <w:snapToGrid w:val="0"/>
          <w:kern w:val="0"/>
        </w:rPr>
      </w:pPr>
      <w:r>
        <w:rPr>
          <w:rFonts w:hint="eastAsia" w:hAnsi="Cambria Math"/>
          <w:b/>
          <w:snapToGrid w:val="0"/>
          <w:spacing w:val="-1"/>
          <w:kern w:val="0"/>
        </w:rPr>
        <w:t xml:space="preserve">                   </w:t>
      </w:r>
      <m:oMath>
        <m:r>
          <m:rPr>
            <m:sty m:val="b"/>
          </m:rPr>
          <w:rPr>
            <w:rFonts w:hint="eastAsia" w:ascii="Cambria Math" w:hAnsi="Cambria Math"/>
            <w:snapToGrid w:val="0"/>
            <w:spacing w:val="-1"/>
            <w:kern w:val="0"/>
          </w:rPr>
          <m:t>硝化潜势差异率</m:t>
        </m:r>
        <m:r>
          <m:rPr>
            <m:sty m:val="p"/>
          </m:rPr>
          <w:rPr>
            <w:rFonts w:ascii="Cambria Math" w:hAnsi="Cambria Math"/>
            <w:snapToGrid w:val="0"/>
            <w:spacing w:val="-1"/>
            <w:kern w:val="0"/>
          </w:rPr>
          <m:t>=</m:t>
        </m:r>
        <m:f>
          <m:fPr>
            <m:ctrlPr>
              <w:rPr>
                <w:rFonts w:hint="eastAsia" w:ascii="Cambria Math" w:hAnsi="Cambria Math"/>
                <w:b/>
                <w:bCs/>
                <w:snapToGrid w:val="0"/>
                <w:spacing w:val="-1"/>
                <w:kern w:val="0"/>
              </w:rPr>
            </m:ctrlPr>
          </m:fPr>
          <m:num>
            <m:sSub>
              <m:sSubPr>
                <m:ctrlPr>
                  <w:rPr>
                    <w:rFonts w:hint="eastAsia" w:ascii="Cambria Math" w:hAnsi="Cambria Math"/>
                    <w:b/>
                    <w:bCs/>
                    <w:snapToGrid w:val="0"/>
                    <w:spacing w:val="-1"/>
                    <w:kern w:val="0"/>
                  </w:rPr>
                </m:ctrlPr>
              </m:sSubPr>
              <m:e>
                <m:r>
                  <m:rPr>
                    <m:sty m:val="b"/>
                  </m:rPr>
                  <w:rPr>
                    <w:rFonts w:hint="eastAsia" w:ascii="Cambria Math" w:hAnsi="Cambria Math"/>
                    <w:snapToGrid w:val="0"/>
                    <w:spacing w:val="-1"/>
                    <w:kern w:val="0"/>
                  </w:rPr>
                  <m:t>硝化潜势</m:t>
                </m:r>
                <m:ctrlPr>
                  <w:rPr>
                    <w:rFonts w:hint="eastAsia" w:ascii="Cambria Math" w:hAnsi="Cambria Math"/>
                    <w:b/>
                    <w:bCs/>
                    <w:snapToGrid w:val="0"/>
                    <w:spacing w:val="-1"/>
                    <w:kern w:val="0"/>
                  </w:rPr>
                </m:ctrlPr>
              </m:e>
              <m:sub>
                <m:r>
                  <m:rPr>
                    <m:sty m:val="b"/>
                  </m:rPr>
                  <w:rPr>
                    <w:rFonts w:hint="eastAsia" w:ascii="Cambria Math" w:hAnsi="Cambria Math"/>
                    <w:snapToGrid w:val="0"/>
                    <w:spacing w:val="-1"/>
                    <w:kern w:val="0"/>
                  </w:rPr>
                  <m:t>对照</m:t>
                </m:r>
                <m:ctrlPr>
                  <w:rPr>
                    <w:rFonts w:hint="eastAsia" w:ascii="Cambria Math" w:hAnsi="Cambria Math"/>
                    <w:b/>
                    <w:bCs/>
                    <w:snapToGrid w:val="0"/>
                    <w:spacing w:val="-1"/>
                    <w:kern w:val="0"/>
                  </w:rPr>
                </m:ctrlPr>
              </m:sub>
            </m:sSub>
            <m:r>
              <m:rPr>
                <m:sty m:val="b"/>
              </m:rPr>
              <w:rPr>
                <w:rFonts w:hint="eastAsia" w:ascii="微软雅黑" w:hAnsi="微软雅黑" w:eastAsia="微软雅黑" w:cs="微软雅黑"/>
                <w:snapToGrid w:val="0"/>
                <w:spacing w:val="-1"/>
                <w:kern w:val="0"/>
              </w:rPr>
              <m:t>−</m:t>
            </m:r>
            <m:sSub>
              <m:sSubPr>
                <m:ctrlPr>
                  <w:rPr>
                    <w:rFonts w:hint="eastAsia" w:ascii="Cambria Math" w:hAnsi="Cambria Math"/>
                    <w:b/>
                    <w:bCs/>
                    <w:snapToGrid w:val="0"/>
                    <w:spacing w:val="-1"/>
                    <w:kern w:val="0"/>
                  </w:rPr>
                </m:ctrlPr>
              </m:sSubPr>
              <m:e>
                <m:r>
                  <m:rPr>
                    <m:sty m:val="b"/>
                  </m:rPr>
                  <w:rPr>
                    <w:rFonts w:hint="eastAsia" w:ascii="Cambria Math" w:hAnsi="Cambria Math"/>
                    <w:snapToGrid w:val="0"/>
                    <w:spacing w:val="-1"/>
                    <w:kern w:val="0"/>
                  </w:rPr>
                  <m:t>硝化潜势</m:t>
                </m:r>
                <m:ctrlPr>
                  <w:rPr>
                    <w:rFonts w:hint="eastAsia" w:ascii="Cambria Math" w:hAnsi="Cambria Math"/>
                    <w:b/>
                    <w:bCs/>
                    <w:snapToGrid w:val="0"/>
                    <w:spacing w:val="-1"/>
                    <w:kern w:val="0"/>
                  </w:rPr>
                </m:ctrlPr>
              </m:e>
              <m:sub>
                <m:r>
                  <m:rPr>
                    <m:sty m:val="b"/>
                  </m:rPr>
                  <w:rPr>
                    <w:rFonts w:hint="eastAsia" w:ascii="Cambria Math" w:hAnsi="Cambria Math"/>
                    <w:snapToGrid w:val="0"/>
                    <w:spacing w:val="-1"/>
                    <w:kern w:val="0"/>
                  </w:rPr>
                  <m:t>试样</m:t>
                </m:r>
                <m:ctrlPr>
                  <w:rPr>
                    <w:rFonts w:hint="eastAsia" w:ascii="Cambria Math" w:hAnsi="Cambria Math"/>
                    <w:b/>
                    <w:bCs/>
                    <w:snapToGrid w:val="0"/>
                    <w:spacing w:val="-1"/>
                    <w:kern w:val="0"/>
                  </w:rPr>
                </m:ctrlPr>
              </m:sub>
            </m:sSub>
            <m:ctrlPr>
              <w:rPr>
                <w:rFonts w:hint="eastAsia" w:ascii="Cambria Math" w:hAnsi="Cambria Math"/>
                <w:b/>
                <w:bCs/>
                <w:snapToGrid w:val="0"/>
                <w:spacing w:val="-1"/>
                <w:kern w:val="0"/>
              </w:rPr>
            </m:ctrlPr>
          </m:num>
          <m:den>
            <m:sSub>
              <m:sSubPr>
                <m:ctrlPr>
                  <w:rPr>
                    <w:rFonts w:hint="eastAsia" w:ascii="Cambria Math" w:hAnsi="Cambria Math"/>
                    <w:b/>
                    <w:bCs/>
                    <w:snapToGrid w:val="0"/>
                    <w:spacing w:val="-1"/>
                    <w:kern w:val="0"/>
                  </w:rPr>
                </m:ctrlPr>
              </m:sSubPr>
              <m:e>
                <m:r>
                  <m:rPr>
                    <m:sty m:val="b"/>
                  </m:rPr>
                  <w:rPr>
                    <w:rFonts w:hint="eastAsia" w:ascii="Cambria Math" w:hAnsi="Cambria Math"/>
                    <w:snapToGrid w:val="0"/>
                    <w:spacing w:val="-1"/>
                    <w:kern w:val="0"/>
                  </w:rPr>
                  <m:t>硝化潜势</m:t>
                </m:r>
                <m:ctrlPr>
                  <w:rPr>
                    <w:rFonts w:hint="eastAsia" w:ascii="Cambria Math" w:hAnsi="Cambria Math"/>
                    <w:b/>
                    <w:bCs/>
                    <w:snapToGrid w:val="0"/>
                    <w:spacing w:val="-1"/>
                    <w:kern w:val="0"/>
                  </w:rPr>
                </m:ctrlPr>
              </m:e>
              <m:sub>
                <m:r>
                  <m:rPr>
                    <m:sty m:val="b"/>
                  </m:rPr>
                  <w:rPr>
                    <w:rFonts w:hint="eastAsia" w:ascii="Cambria Math" w:hAnsi="Cambria Math"/>
                    <w:snapToGrid w:val="0"/>
                    <w:spacing w:val="-1"/>
                    <w:kern w:val="0"/>
                  </w:rPr>
                  <m:t>试样</m:t>
                </m:r>
                <m:ctrlPr>
                  <w:rPr>
                    <w:rFonts w:hint="eastAsia" w:ascii="Cambria Math" w:hAnsi="Cambria Math"/>
                    <w:b/>
                    <w:bCs/>
                    <w:snapToGrid w:val="0"/>
                    <w:spacing w:val="-1"/>
                    <w:kern w:val="0"/>
                  </w:rPr>
                </m:ctrlPr>
              </m:sub>
            </m:sSub>
            <m:ctrlPr>
              <w:rPr>
                <w:rFonts w:hint="eastAsia" w:ascii="Cambria Math" w:hAnsi="Cambria Math"/>
                <w:b/>
                <w:bCs/>
                <w:snapToGrid w:val="0"/>
                <w:spacing w:val="-1"/>
                <w:kern w:val="0"/>
              </w:rPr>
            </m:ctrlPr>
          </m:den>
        </m:f>
        <m:r>
          <m:rPr>
            <m:sty m:val="bi"/>
          </m:rPr>
          <w:rPr>
            <w:rFonts w:ascii="Cambria Math" w:hAnsi="Cambria Math"/>
            <w:snapToGrid w:val="0"/>
            <w:spacing w:val="-1"/>
            <w:kern w:val="0"/>
          </w:rPr>
          <m:t>×100</m:t>
        </m:r>
      </m:oMath>
      <w:r>
        <w:rPr>
          <w:rFonts w:hint="eastAsia" w:ascii="Times New Roman"/>
          <w:lang w:val="pt-BR"/>
        </w:rPr>
        <w:t>…………………………</w:t>
      </w:r>
      <w:r>
        <w:rPr>
          <w:rFonts w:hint="eastAsia" w:ascii="Times New Roman" w:hAnsi="Times New Roman"/>
          <w:snapToGrid w:val="0"/>
          <w:spacing w:val="-4"/>
          <w:kern w:val="0"/>
        </w:rPr>
        <w:t>（6）</w:t>
      </w:r>
    </w:p>
    <w:p w14:paraId="3B6A140F">
      <w:pPr>
        <w:pStyle w:val="65"/>
        <w:numPr>
          <w:ilvl w:val="3"/>
          <w:numId w:val="0"/>
        </w:numPr>
        <w:spacing w:before="156" w:after="156"/>
      </w:pPr>
      <w:bookmarkStart w:id="73" w:name="_Toc231994787"/>
      <w:r>
        <w:rPr>
          <w:rFonts w:hint="eastAsia"/>
        </w:rPr>
        <w:t>（4）允许差</w:t>
      </w:r>
      <w:bookmarkEnd w:id="73"/>
    </w:p>
    <w:p w14:paraId="03C67E2A">
      <w:pPr>
        <w:pStyle w:val="56"/>
        <w:ind w:firstLine="420"/>
        <w:rPr>
          <w:snapToGrid w:val="0"/>
        </w:rPr>
      </w:pPr>
      <w:r>
        <w:rPr>
          <w:snapToGrid w:val="0"/>
        </w:rPr>
        <w:t>平行测定结果之间相对偏差不大于5.0%</w:t>
      </w:r>
      <w:r>
        <w:rPr>
          <w:rFonts w:hint="eastAsia"/>
          <w:snapToGrid w:val="0"/>
        </w:rPr>
        <w:t>，</w:t>
      </w:r>
      <w:r>
        <w:rPr>
          <w:snapToGrid w:val="0"/>
        </w:rPr>
        <w:t>不同实验室测定结果的相对偏差不大于10.0%。</w:t>
      </w:r>
    </w:p>
    <w:p w14:paraId="5CCE1B63">
      <w:pPr>
        <w:pStyle w:val="105"/>
        <w:spacing w:before="156" w:after="156"/>
      </w:pPr>
      <w:bookmarkStart w:id="74" w:name="_Toc231994788"/>
      <w:bookmarkStart w:id="75" w:name="_Toc231994839"/>
      <w:r>
        <w:rPr>
          <w:rFonts w:hint="eastAsia" w:ascii="Times New Roman"/>
          <w:szCs w:val="21"/>
        </w:rPr>
        <w:t>正丁基硫代磷酰三胺（N</w:t>
      </w:r>
      <w:r>
        <w:rPr>
          <w:rFonts w:ascii="Times New Roman"/>
          <w:szCs w:val="21"/>
        </w:rPr>
        <w:t>BPT</w:t>
      </w:r>
      <w:r>
        <w:rPr>
          <w:rFonts w:hint="eastAsia" w:ascii="Times New Roman"/>
          <w:szCs w:val="21"/>
        </w:rPr>
        <w:t>）</w:t>
      </w:r>
      <w:r>
        <w:rPr>
          <w:rFonts w:hint="eastAsia"/>
        </w:rPr>
        <w:t>含量的测定</w:t>
      </w:r>
      <w:bookmarkEnd w:id="74"/>
      <w:bookmarkEnd w:id="75"/>
    </w:p>
    <w:p w14:paraId="64EE5E62">
      <w:pPr>
        <w:pStyle w:val="56"/>
        <w:ind w:firstLine="420"/>
      </w:pPr>
      <w:r>
        <w:rPr>
          <w:rFonts w:hint="eastAsia"/>
        </w:rPr>
        <w:t>按照GB/T 46742或者NY/T 30</w:t>
      </w:r>
      <w:r>
        <w:t>3</w:t>
      </w:r>
      <w:r>
        <w:rPr>
          <w:rFonts w:hint="eastAsia"/>
        </w:rPr>
        <w:t>8中的方法测定</w:t>
      </w:r>
      <w:r>
        <w:rPr>
          <w:rFonts w:hint="eastAsia"/>
          <w:color w:val="1D41D5"/>
        </w:rPr>
        <w:t>，</w:t>
      </w:r>
      <w:r>
        <w:rPr>
          <w:rFonts w:hint="eastAsia" w:ascii="宋体" w:hAnsi="宋体" w:cs="宋体"/>
          <w:color w:val="1D41D5"/>
          <w:szCs w:val="21"/>
        </w:rPr>
        <w:t>以GB/T 46742为仲裁法</w:t>
      </w:r>
      <w:r>
        <w:rPr>
          <w:rFonts w:hint="eastAsia"/>
        </w:rPr>
        <w:t>。</w:t>
      </w:r>
    </w:p>
    <w:p w14:paraId="5A97D676">
      <w:pPr>
        <w:pStyle w:val="105"/>
        <w:spacing w:before="156" w:after="156"/>
      </w:pPr>
      <w:bookmarkStart w:id="76" w:name="_Toc231994789"/>
      <w:bookmarkStart w:id="77" w:name="_Toc231994840"/>
      <w:r>
        <w:rPr>
          <w:rFonts w:hint="eastAsia"/>
        </w:rPr>
        <w:t>双氰胺（DCD）含量的测定</w:t>
      </w:r>
      <w:bookmarkEnd w:id="76"/>
      <w:bookmarkEnd w:id="77"/>
    </w:p>
    <w:p w14:paraId="29851E72">
      <w:pPr>
        <w:pStyle w:val="56"/>
        <w:ind w:firstLine="420"/>
      </w:pPr>
      <w:r>
        <w:rPr>
          <w:rFonts w:hint="eastAsia"/>
        </w:rPr>
        <w:t>按照GB/T 46742或者NY/T 2877中的方法测定</w:t>
      </w:r>
      <w:r>
        <w:rPr>
          <w:rFonts w:hint="eastAsia"/>
          <w:color w:val="1D41D5"/>
        </w:rPr>
        <w:t>，</w:t>
      </w:r>
      <w:r>
        <w:rPr>
          <w:rFonts w:hint="eastAsia" w:ascii="宋体" w:hAnsi="宋体" w:cs="宋体"/>
          <w:color w:val="1D41D5"/>
          <w:szCs w:val="21"/>
        </w:rPr>
        <w:t>以GB/T 46742为仲裁法</w:t>
      </w:r>
      <w:r>
        <w:rPr>
          <w:rFonts w:hint="eastAsia"/>
        </w:rPr>
        <w:t>。</w:t>
      </w:r>
    </w:p>
    <w:p w14:paraId="75FA9D7C">
      <w:pPr>
        <w:pStyle w:val="105"/>
        <w:spacing w:before="156" w:after="156"/>
      </w:pPr>
      <w:bookmarkStart w:id="78" w:name="_Toc231994841"/>
      <w:bookmarkStart w:id="79" w:name="_Toc231994790"/>
      <w:r>
        <w:rPr>
          <w:rFonts w:hint="eastAsia" w:ascii="Times New Roman"/>
          <w:szCs w:val="21"/>
        </w:rPr>
        <w:t>3,4-二甲基吡唑磷酸盐</w:t>
      </w:r>
      <w:r>
        <w:rPr>
          <w:rFonts w:hint="eastAsia"/>
        </w:rPr>
        <w:t>（DMPP）含量的测定</w:t>
      </w:r>
      <w:bookmarkEnd w:id="78"/>
      <w:bookmarkEnd w:id="79"/>
    </w:p>
    <w:p w14:paraId="7ED3F6D4">
      <w:pPr>
        <w:pStyle w:val="56"/>
        <w:ind w:firstLine="420"/>
      </w:pPr>
      <w:r>
        <w:rPr>
          <w:rFonts w:hint="eastAsia"/>
        </w:rPr>
        <w:t>按照</w:t>
      </w:r>
      <w:r>
        <w:rPr>
          <w:szCs w:val="21"/>
        </w:rPr>
        <w:t>NY/T 3423</w:t>
      </w:r>
      <w:r>
        <w:rPr>
          <w:rFonts w:hint="eastAsia"/>
        </w:rPr>
        <w:t>中的方法测定。</w:t>
      </w:r>
    </w:p>
    <w:p w14:paraId="729F410E">
      <w:pPr>
        <w:pStyle w:val="104"/>
        <w:spacing w:before="312" w:after="312"/>
      </w:pPr>
      <w:bookmarkStart w:id="80" w:name="_Toc231994842"/>
      <w:bookmarkStart w:id="81" w:name="_Toc231994791"/>
      <w:r>
        <w:rPr>
          <w:rFonts w:hint="eastAsia"/>
        </w:rPr>
        <w:t>检验规则</w:t>
      </w:r>
      <w:bookmarkEnd w:id="80"/>
      <w:bookmarkEnd w:id="81"/>
    </w:p>
    <w:p w14:paraId="569ABAF8">
      <w:pPr>
        <w:pStyle w:val="105"/>
        <w:spacing w:before="156" w:after="156"/>
      </w:pPr>
      <w:bookmarkStart w:id="82" w:name="_Toc231994843"/>
      <w:bookmarkStart w:id="83" w:name="_Toc231994792"/>
      <w:r>
        <w:rPr>
          <w:rFonts w:hint="eastAsia"/>
        </w:rPr>
        <w:t>检验类别及检验项目</w:t>
      </w:r>
      <w:bookmarkEnd w:id="82"/>
      <w:bookmarkEnd w:id="83"/>
    </w:p>
    <w:p w14:paraId="51F0C3F8">
      <w:pPr>
        <w:pStyle w:val="56"/>
        <w:ind w:firstLine="420"/>
      </w:pPr>
      <w:r>
        <w:t>产品</w:t>
      </w:r>
      <w:r>
        <w:rPr>
          <w:rFonts w:hint="eastAsia"/>
        </w:rPr>
        <w:t>检验包括</w:t>
      </w:r>
      <w:r>
        <w:t>出厂检验和型式检验。</w:t>
      </w:r>
      <w:r>
        <w:rPr>
          <w:rFonts w:hint="eastAsia"/>
        </w:rPr>
        <w:t>出厂检验项目为相应基础肥料标准中规定的出厂检验项目</w:t>
      </w:r>
      <w:r>
        <w:rPr>
          <w:rFonts w:hint="eastAsia"/>
          <w:lang w:eastAsia="zh-CN"/>
        </w:rPr>
        <w:t>，</w:t>
      </w:r>
      <w:r>
        <w:rPr>
          <w:rFonts w:hint="eastAsia"/>
          <w:color w:val="FF0000"/>
          <w:lang w:val="en-US" w:eastAsia="zh-CN"/>
        </w:rPr>
        <w:t>采用含量指标作为技术指标的产品，出厂检验还必须包括表2中相应的抑制剂含量项目</w:t>
      </w:r>
      <w:r>
        <w:rPr>
          <w:rFonts w:hint="eastAsia"/>
        </w:rPr>
        <w:t>。</w:t>
      </w:r>
      <w:r>
        <w:t>型式检验</w:t>
      </w:r>
      <w:r>
        <w:rPr>
          <w:rFonts w:hint="eastAsia"/>
        </w:rPr>
        <w:t>包括</w:t>
      </w:r>
      <w:r>
        <w:rPr>
          <w:rFonts w:hint="eastAsia"/>
          <w:color w:val="1D41D5"/>
        </w:rPr>
        <w:t>表1中的项目</w:t>
      </w:r>
      <w:r>
        <w:rPr>
          <w:rFonts w:hint="eastAsia"/>
        </w:rPr>
        <w:t>和相应基础肥料标准中的所有项目</w:t>
      </w:r>
      <w:r>
        <w:rPr>
          <w:rFonts w:hint="eastAsia"/>
          <w:lang w:eastAsia="zh-CN"/>
        </w:rPr>
        <w:t>，</w:t>
      </w:r>
      <w:r>
        <w:rPr>
          <w:rFonts w:hint="eastAsia"/>
          <w:color w:val="FF0000"/>
          <w:lang w:val="en-US" w:eastAsia="zh-CN"/>
        </w:rPr>
        <w:t>采用含量指标作为技术指标的产品，型式检验还必须包括表2中相应的抑制剂含量项目，</w:t>
      </w:r>
      <w:r>
        <w:t>型式检验</w:t>
      </w:r>
      <w:r>
        <w:rPr>
          <w:rFonts w:hint="eastAsia"/>
          <w:lang w:val="en-US" w:eastAsia="zh-CN"/>
        </w:rPr>
        <w:t>在</w:t>
      </w:r>
      <w:r>
        <w:rPr>
          <w:rFonts w:hint="eastAsia"/>
        </w:rPr>
        <w:t>有</w:t>
      </w:r>
      <w:r>
        <w:t>下列情况</w:t>
      </w:r>
      <w:r>
        <w:rPr>
          <w:rFonts w:hint="eastAsia"/>
        </w:rPr>
        <w:t>之一</w:t>
      </w:r>
      <w:r>
        <w:t>时进行：</w:t>
      </w:r>
    </w:p>
    <w:p w14:paraId="786944CA">
      <w:pPr>
        <w:pStyle w:val="132"/>
      </w:pPr>
      <w:r>
        <w:rPr>
          <w:rFonts w:hint="eastAsia"/>
        </w:rPr>
        <w:t>新产品投产或产品鉴定时；</w:t>
      </w:r>
    </w:p>
    <w:p w14:paraId="3CC80B6F">
      <w:pPr>
        <w:pStyle w:val="132"/>
      </w:pPr>
      <w:r>
        <w:rPr>
          <w:rFonts w:hint="eastAsia" w:hAnsi="宋体"/>
          <w:szCs w:val="21"/>
        </w:rPr>
        <w:t>正式</w:t>
      </w:r>
      <w:r>
        <w:rPr>
          <w:rFonts w:hAnsi="宋体"/>
          <w:szCs w:val="21"/>
        </w:rPr>
        <w:t>生产时，原料、工艺发生变化；</w:t>
      </w:r>
    </w:p>
    <w:p w14:paraId="137295CB">
      <w:pPr>
        <w:pStyle w:val="132"/>
      </w:pPr>
      <w:r>
        <w:t>正式生产时，定期或积累到一定量后，</w:t>
      </w:r>
      <w:r>
        <w:rPr>
          <w:rFonts w:hint="eastAsia"/>
        </w:rPr>
        <w:t>至少每半年</w:t>
      </w:r>
      <w:r>
        <w:t>进行一次；</w:t>
      </w:r>
    </w:p>
    <w:p w14:paraId="26BE02C4">
      <w:pPr>
        <w:pStyle w:val="132"/>
      </w:pPr>
      <w:r>
        <w:rPr>
          <w:rFonts w:hint="eastAsia"/>
        </w:rPr>
        <w:t>出厂检验结果与上次型式检验结果有较大差异时；</w:t>
      </w:r>
    </w:p>
    <w:p w14:paraId="5D292A69">
      <w:pPr>
        <w:pStyle w:val="132"/>
      </w:pPr>
      <w:r>
        <w:rPr>
          <w:rFonts w:hAnsi="宋体"/>
          <w:szCs w:val="21"/>
        </w:rPr>
        <w:t>停产一个月</w:t>
      </w:r>
      <w:r>
        <w:rPr>
          <w:rFonts w:hint="eastAsia" w:hAnsi="宋体"/>
          <w:szCs w:val="21"/>
        </w:rPr>
        <w:t>以上</w:t>
      </w:r>
      <w:r>
        <w:rPr>
          <w:rFonts w:hAnsi="宋体"/>
          <w:szCs w:val="21"/>
        </w:rPr>
        <w:t>重新开始生产时</w:t>
      </w:r>
      <w:r>
        <w:rPr>
          <w:rFonts w:hint="eastAsia" w:hAnsi="宋体"/>
          <w:szCs w:val="21"/>
        </w:rPr>
        <w:t>；</w:t>
      </w:r>
    </w:p>
    <w:p w14:paraId="75866155">
      <w:pPr>
        <w:pStyle w:val="132"/>
      </w:pPr>
      <w:r>
        <w:rPr>
          <w:rFonts w:hint="eastAsia"/>
        </w:rPr>
        <w:t>政府质量监管部门</w:t>
      </w:r>
      <w:r>
        <w:t>提出型式检验的要求时。</w:t>
      </w:r>
    </w:p>
    <w:p w14:paraId="617A972D">
      <w:pPr>
        <w:pStyle w:val="105"/>
        <w:spacing w:before="156" w:after="156"/>
      </w:pPr>
      <w:bookmarkStart w:id="84" w:name="_Toc231994844"/>
      <w:bookmarkStart w:id="85" w:name="_Toc231994793"/>
      <w:r>
        <w:rPr>
          <w:rFonts w:hint="eastAsia"/>
        </w:rPr>
        <w:t>组批</w:t>
      </w:r>
      <w:bookmarkEnd w:id="84"/>
      <w:bookmarkEnd w:id="85"/>
    </w:p>
    <w:p w14:paraId="134897E0">
      <w:pPr>
        <w:pStyle w:val="56"/>
        <w:ind w:firstLine="420"/>
        <w:rPr>
          <w:color w:val="1552D1"/>
        </w:rPr>
      </w:pPr>
      <w:r>
        <w:rPr>
          <w:rFonts w:hint="eastAsia" w:ascii="宋体" w:hAnsi="宋体" w:cs="宋体"/>
          <w:color w:val="1552D1"/>
          <w:szCs w:val="21"/>
        </w:rPr>
        <w:t>组批按相应基础肥料（尿素、复合肥、掺混肥等）标准的规定执行。</w:t>
      </w:r>
    </w:p>
    <w:p w14:paraId="48826133">
      <w:pPr>
        <w:pStyle w:val="105"/>
        <w:spacing w:before="156" w:after="156"/>
        <w:rPr>
          <w:color w:val="1D41D5"/>
        </w:rPr>
      </w:pPr>
      <w:r>
        <w:rPr>
          <w:rFonts w:hint="eastAsia"/>
          <w:color w:val="1D41D5"/>
        </w:rPr>
        <w:t>合并样品的采取</w:t>
      </w:r>
    </w:p>
    <w:p w14:paraId="1B953339">
      <w:pPr>
        <w:pStyle w:val="65"/>
        <w:spacing w:before="156" w:after="156"/>
      </w:pPr>
      <w:bookmarkStart w:id="86" w:name="_Toc231994795"/>
      <w:r>
        <w:rPr>
          <w:rFonts w:hint="eastAsia"/>
        </w:rPr>
        <w:t>袋装产品</w:t>
      </w:r>
      <w:bookmarkEnd w:id="86"/>
    </w:p>
    <w:p w14:paraId="38D03DA3">
      <w:pPr>
        <w:pStyle w:val="56"/>
        <w:ind w:firstLine="420"/>
      </w:pPr>
      <w:r>
        <w:t>不超过512袋时，按</w:t>
      </w:r>
      <w:r>
        <w:rPr>
          <w:rFonts w:hint="eastAsia"/>
        </w:rPr>
        <w:t>表2确定的最少采样袋数</w:t>
      </w:r>
      <w:r>
        <w:t>采样</w:t>
      </w:r>
      <w:r>
        <w:rPr>
          <w:rFonts w:hint="eastAsia"/>
        </w:rPr>
        <w:t>；</w:t>
      </w:r>
      <w:r>
        <w:t>超过512袋时，按式</w:t>
      </w:r>
      <w:r>
        <w:rPr>
          <w:rFonts w:hint="eastAsia"/>
        </w:rPr>
        <w:t>（7）</w:t>
      </w:r>
      <w:r>
        <w:t>计算结果</w:t>
      </w:r>
      <w:r>
        <w:rPr>
          <w:rFonts w:hint="eastAsia"/>
        </w:rPr>
        <w:t>确定的采样袋数</w:t>
      </w:r>
      <w:r>
        <w:t>采样，计算结果如果遇到小数，则进为整数。</w:t>
      </w:r>
    </w:p>
    <w:p w14:paraId="15A473F0">
      <w:pPr>
        <w:pStyle w:val="112"/>
        <w:spacing w:before="156" w:after="156"/>
      </w:pPr>
      <w:r>
        <w:rPr>
          <w:rFonts w:hint="eastAsia"/>
        </w:rPr>
        <w:t>最少</w:t>
      </w:r>
      <w:r>
        <w:t>采样袋数的确定</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10"/>
        <w:gridCol w:w="2310"/>
        <w:gridCol w:w="2310"/>
        <w:gridCol w:w="2310"/>
      </w:tblGrid>
      <w:tr w14:paraId="3EDC5B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10" w:type="dxa"/>
            <w:tcBorders>
              <w:top w:val="single" w:color="auto" w:sz="8" w:space="0"/>
              <w:bottom w:val="single" w:color="auto" w:sz="8" w:space="0"/>
            </w:tcBorders>
            <w:vAlign w:val="center"/>
          </w:tcPr>
          <w:p w14:paraId="28A66E55">
            <w:pPr>
              <w:pStyle w:val="229"/>
              <w:widowControl w:val="0"/>
              <w:ind w:firstLine="0" w:firstLineChars="0"/>
              <w:jc w:val="center"/>
              <w:rPr>
                <w:rFonts w:ascii="Times New Roman"/>
                <w:sz w:val="18"/>
                <w:szCs w:val="21"/>
              </w:rPr>
            </w:pPr>
            <w:r>
              <w:rPr>
                <w:rFonts w:ascii="Times New Roman"/>
                <w:sz w:val="18"/>
                <w:szCs w:val="21"/>
              </w:rPr>
              <w:t>总袋数</w:t>
            </w:r>
          </w:p>
        </w:tc>
        <w:tc>
          <w:tcPr>
            <w:tcW w:w="2310" w:type="dxa"/>
            <w:tcBorders>
              <w:top w:val="single" w:color="auto" w:sz="8" w:space="0"/>
              <w:bottom w:val="single" w:color="auto" w:sz="8" w:space="0"/>
            </w:tcBorders>
            <w:vAlign w:val="center"/>
          </w:tcPr>
          <w:p w14:paraId="717EE456">
            <w:pPr>
              <w:pStyle w:val="229"/>
              <w:widowControl w:val="0"/>
              <w:ind w:firstLine="0" w:firstLineChars="0"/>
              <w:jc w:val="center"/>
              <w:rPr>
                <w:rFonts w:ascii="Times New Roman"/>
                <w:sz w:val="18"/>
                <w:szCs w:val="21"/>
              </w:rPr>
            </w:pPr>
            <w:r>
              <w:rPr>
                <w:rFonts w:ascii="Times New Roman"/>
                <w:sz w:val="18"/>
                <w:szCs w:val="21"/>
              </w:rPr>
              <w:t>最少采样袋数</w:t>
            </w:r>
          </w:p>
        </w:tc>
        <w:tc>
          <w:tcPr>
            <w:tcW w:w="2310" w:type="dxa"/>
            <w:tcBorders>
              <w:top w:val="single" w:color="auto" w:sz="8" w:space="0"/>
              <w:bottom w:val="single" w:color="auto" w:sz="8" w:space="0"/>
            </w:tcBorders>
            <w:vAlign w:val="center"/>
          </w:tcPr>
          <w:p w14:paraId="0533678A">
            <w:pPr>
              <w:pStyle w:val="229"/>
              <w:widowControl w:val="0"/>
              <w:ind w:firstLine="0" w:firstLineChars="0"/>
              <w:jc w:val="center"/>
              <w:rPr>
                <w:rFonts w:ascii="Times New Roman"/>
                <w:sz w:val="18"/>
                <w:szCs w:val="21"/>
              </w:rPr>
            </w:pPr>
            <w:r>
              <w:rPr>
                <w:rFonts w:ascii="Times New Roman"/>
                <w:sz w:val="18"/>
                <w:szCs w:val="21"/>
              </w:rPr>
              <w:t>总袋数</w:t>
            </w:r>
          </w:p>
        </w:tc>
        <w:tc>
          <w:tcPr>
            <w:tcW w:w="2310" w:type="dxa"/>
            <w:tcBorders>
              <w:top w:val="single" w:color="auto" w:sz="8" w:space="0"/>
              <w:bottom w:val="single" w:color="auto" w:sz="8" w:space="0"/>
            </w:tcBorders>
            <w:vAlign w:val="center"/>
          </w:tcPr>
          <w:p w14:paraId="1F58BFA4">
            <w:pPr>
              <w:pStyle w:val="229"/>
              <w:widowControl w:val="0"/>
              <w:ind w:firstLine="0" w:firstLineChars="0"/>
              <w:jc w:val="center"/>
              <w:rPr>
                <w:rFonts w:ascii="Times New Roman"/>
                <w:sz w:val="18"/>
                <w:szCs w:val="21"/>
              </w:rPr>
            </w:pPr>
            <w:r>
              <w:rPr>
                <w:rFonts w:ascii="Times New Roman"/>
                <w:sz w:val="18"/>
                <w:szCs w:val="21"/>
              </w:rPr>
              <w:t>最少采样袋数</w:t>
            </w:r>
          </w:p>
        </w:tc>
      </w:tr>
      <w:tr w14:paraId="3DA1E8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tcBorders>
              <w:top w:val="single" w:color="auto" w:sz="8" w:space="0"/>
            </w:tcBorders>
            <w:vAlign w:val="center"/>
          </w:tcPr>
          <w:p w14:paraId="4F2DE1F3">
            <w:pPr>
              <w:pStyle w:val="229"/>
              <w:widowControl w:val="0"/>
              <w:ind w:firstLine="0" w:firstLineChars="0"/>
              <w:jc w:val="center"/>
              <w:rPr>
                <w:rFonts w:ascii="Times New Roman"/>
                <w:sz w:val="18"/>
                <w:szCs w:val="21"/>
              </w:rPr>
            </w:pPr>
            <w:r>
              <w:rPr>
                <w:rFonts w:ascii="Times New Roman"/>
                <w:sz w:val="18"/>
                <w:szCs w:val="21"/>
              </w:rPr>
              <w:t>1</w:t>
            </w:r>
            <w:r>
              <w:rPr>
                <w:rFonts w:hint="eastAsia" w:hAnsi="宋体"/>
                <w:sz w:val="18"/>
                <w:szCs w:val="21"/>
              </w:rPr>
              <w:t>～</w:t>
            </w:r>
            <w:r>
              <w:rPr>
                <w:rFonts w:ascii="Times New Roman"/>
                <w:sz w:val="18"/>
                <w:szCs w:val="21"/>
              </w:rPr>
              <w:t>10</w:t>
            </w:r>
          </w:p>
        </w:tc>
        <w:tc>
          <w:tcPr>
            <w:tcW w:w="2310" w:type="dxa"/>
            <w:tcBorders>
              <w:top w:val="single" w:color="auto" w:sz="8" w:space="0"/>
            </w:tcBorders>
            <w:vAlign w:val="center"/>
          </w:tcPr>
          <w:p w14:paraId="64B37448">
            <w:pPr>
              <w:pStyle w:val="229"/>
              <w:widowControl w:val="0"/>
              <w:ind w:firstLine="0" w:firstLineChars="0"/>
              <w:jc w:val="center"/>
              <w:rPr>
                <w:rFonts w:ascii="Times New Roman"/>
                <w:sz w:val="18"/>
                <w:szCs w:val="21"/>
              </w:rPr>
            </w:pPr>
            <w:r>
              <w:rPr>
                <w:rFonts w:ascii="Times New Roman"/>
                <w:sz w:val="18"/>
                <w:szCs w:val="21"/>
              </w:rPr>
              <w:t>全部袋数</w:t>
            </w:r>
          </w:p>
        </w:tc>
        <w:tc>
          <w:tcPr>
            <w:tcW w:w="2310" w:type="dxa"/>
            <w:tcBorders>
              <w:top w:val="single" w:color="auto" w:sz="8" w:space="0"/>
            </w:tcBorders>
            <w:vAlign w:val="center"/>
          </w:tcPr>
          <w:p w14:paraId="32FBE564">
            <w:pPr>
              <w:pStyle w:val="229"/>
              <w:widowControl w:val="0"/>
              <w:ind w:firstLine="0" w:firstLineChars="0"/>
              <w:jc w:val="center"/>
              <w:rPr>
                <w:rFonts w:ascii="Times New Roman"/>
                <w:sz w:val="18"/>
                <w:szCs w:val="21"/>
              </w:rPr>
            </w:pPr>
            <w:r>
              <w:rPr>
                <w:rFonts w:ascii="Times New Roman"/>
                <w:sz w:val="18"/>
                <w:szCs w:val="21"/>
              </w:rPr>
              <w:t>182</w:t>
            </w:r>
            <w:r>
              <w:rPr>
                <w:rFonts w:hint="eastAsia" w:hAnsi="宋体"/>
                <w:sz w:val="18"/>
                <w:szCs w:val="21"/>
              </w:rPr>
              <w:t>～</w:t>
            </w:r>
            <w:r>
              <w:rPr>
                <w:rFonts w:ascii="Times New Roman"/>
                <w:sz w:val="18"/>
                <w:szCs w:val="21"/>
              </w:rPr>
              <w:t>216</w:t>
            </w:r>
          </w:p>
        </w:tc>
        <w:tc>
          <w:tcPr>
            <w:tcW w:w="2310" w:type="dxa"/>
            <w:tcBorders>
              <w:top w:val="single" w:color="auto" w:sz="8" w:space="0"/>
            </w:tcBorders>
            <w:vAlign w:val="center"/>
          </w:tcPr>
          <w:p w14:paraId="501CEB85">
            <w:pPr>
              <w:pStyle w:val="229"/>
              <w:widowControl w:val="0"/>
              <w:ind w:firstLine="0" w:firstLineChars="0"/>
              <w:jc w:val="center"/>
              <w:rPr>
                <w:rFonts w:ascii="Times New Roman"/>
                <w:sz w:val="18"/>
                <w:szCs w:val="21"/>
              </w:rPr>
            </w:pPr>
            <w:r>
              <w:rPr>
                <w:rFonts w:ascii="Times New Roman"/>
                <w:sz w:val="18"/>
                <w:szCs w:val="21"/>
              </w:rPr>
              <w:t>18</w:t>
            </w:r>
          </w:p>
        </w:tc>
      </w:tr>
      <w:tr w14:paraId="62072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3B9E0EEB">
            <w:pPr>
              <w:pStyle w:val="229"/>
              <w:widowControl w:val="0"/>
              <w:ind w:firstLine="0" w:firstLineChars="0"/>
              <w:jc w:val="center"/>
              <w:rPr>
                <w:rFonts w:ascii="Times New Roman"/>
                <w:sz w:val="18"/>
                <w:szCs w:val="21"/>
              </w:rPr>
            </w:pPr>
            <w:r>
              <w:rPr>
                <w:rFonts w:ascii="Times New Roman"/>
                <w:sz w:val="18"/>
                <w:szCs w:val="21"/>
              </w:rPr>
              <w:t>11</w:t>
            </w:r>
            <w:r>
              <w:rPr>
                <w:rFonts w:hint="eastAsia" w:hAnsi="宋体"/>
                <w:sz w:val="18"/>
                <w:szCs w:val="21"/>
              </w:rPr>
              <w:t>～</w:t>
            </w:r>
            <w:r>
              <w:rPr>
                <w:rFonts w:ascii="Times New Roman"/>
                <w:sz w:val="18"/>
                <w:szCs w:val="21"/>
              </w:rPr>
              <w:t>49</w:t>
            </w:r>
          </w:p>
        </w:tc>
        <w:tc>
          <w:tcPr>
            <w:tcW w:w="2310" w:type="dxa"/>
            <w:vAlign w:val="center"/>
          </w:tcPr>
          <w:p w14:paraId="7DF2FCB8">
            <w:pPr>
              <w:pStyle w:val="229"/>
              <w:widowControl w:val="0"/>
              <w:ind w:firstLine="0" w:firstLineChars="0"/>
              <w:jc w:val="center"/>
              <w:rPr>
                <w:rFonts w:ascii="Times New Roman"/>
                <w:sz w:val="18"/>
                <w:szCs w:val="21"/>
              </w:rPr>
            </w:pPr>
            <w:r>
              <w:rPr>
                <w:rFonts w:ascii="Times New Roman"/>
                <w:sz w:val="18"/>
                <w:szCs w:val="21"/>
              </w:rPr>
              <w:t>11</w:t>
            </w:r>
          </w:p>
        </w:tc>
        <w:tc>
          <w:tcPr>
            <w:tcW w:w="2310" w:type="dxa"/>
            <w:vAlign w:val="center"/>
          </w:tcPr>
          <w:p w14:paraId="3BABEA9E">
            <w:pPr>
              <w:pStyle w:val="229"/>
              <w:widowControl w:val="0"/>
              <w:ind w:firstLine="0" w:firstLineChars="0"/>
              <w:jc w:val="center"/>
              <w:rPr>
                <w:rFonts w:ascii="Times New Roman"/>
                <w:sz w:val="18"/>
                <w:szCs w:val="21"/>
              </w:rPr>
            </w:pPr>
            <w:r>
              <w:rPr>
                <w:rFonts w:ascii="Times New Roman"/>
                <w:sz w:val="18"/>
                <w:szCs w:val="21"/>
              </w:rPr>
              <w:t>217</w:t>
            </w:r>
            <w:r>
              <w:rPr>
                <w:rFonts w:hint="eastAsia" w:hAnsi="宋体"/>
                <w:sz w:val="18"/>
                <w:szCs w:val="21"/>
              </w:rPr>
              <w:t>～</w:t>
            </w:r>
            <w:r>
              <w:rPr>
                <w:rFonts w:ascii="Times New Roman"/>
                <w:sz w:val="18"/>
                <w:szCs w:val="21"/>
              </w:rPr>
              <w:t>254</w:t>
            </w:r>
          </w:p>
        </w:tc>
        <w:tc>
          <w:tcPr>
            <w:tcW w:w="2310" w:type="dxa"/>
            <w:vAlign w:val="center"/>
          </w:tcPr>
          <w:p w14:paraId="3D36A24F">
            <w:pPr>
              <w:pStyle w:val="229"/>
              <w:widowControl w:val="0"/>
              <w:ind w:firstLine="0" w:firstLineChars="0"/>
              <w:jc w:val="center"/>
              <w:rPr>
                <w:rFonts w:ascii="Times New Roman"/>
                <w:sz w:val="18"/>
                <w:szCs w:val="21"/>
              </w:rPr>
            </w:pPr>
            <w:r>
              <w:rPr>
                <w:rFonts w:ascii="Times New Roman"/>
                <w:sz w:val="18"/>
                <w:szCs w:val="21"/>
              </w:rPr>
              <w:t>19</w:t>
            </w:r>
          </w:p>
        </w:tc>
      </w:tr>
      <w:tr w14:paraId="35FBB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37B5ACFB">
            <w:pPr>
              <w:pStyle w:val="229"/>
              <w:widowControl w:val="0"/>
              <w:ind w:firstLine="0" w:firstLineChars="0"/>
              <w:jc w:val="center"/>
              <w:rPr>
                <w:rFonts w:ascii="Times New Roman"/>
                <w:sz w:val="18"/>
                <w:szCs w:val="21"/>
              </w:rPr>
            </w:pPr>
            <w:r>
              <w:rPr>
                <w:rFonts w:ascii="Times New Roman"/>
                <w:sz w:val="18"/>
                <w:szCs w:val="21"/>
              </w:rPr>
              <w:t>50</w:t>
            </w:r>
            <w:r>
              <w:rPr>
                <w:rFonts w:hint="eastAsia" w:hAnsi="宋体"/>
                <w:sz w:val="18"/>
                <w:szCs w:val="21"/>
              </w:rPr>
              <w:t>～</w:t>
            </w:r>
            <w:r>
              <w:rPr>
                <w:rFonts w:ascii="Times New Roman"/>
                <w:sz w:val="18"/>
                <w:szCs w:val="21"/>
              </w:rPr>
              <w:t>64</w:t>
            </w:r>
          </w:p>
        </w:tc>
        <w:tc>
          <w:tcPr>
            <w:tcW w:w="2310" w:type="dxa"/>
            <w:vAlign w:val="center"/>
          </w:tcPr>
          <w:p w14:paraId="1548847A">
            <w:pPr>
              <w:pStyle w:val="229"/>
              <w:widowControl w:val="0"/>
              <w:ind w:firstLine="0" w:firstLineChars="0"/>
              <w:jc w:val="center"/>
              <w:rPr>
                <w:rFonts w:ascii="Times New Roman"/>
                <w:sz w:val="18"/>
                <w:szCs w:val="21"/>
              </w:rPr>
            </w:pPr>
            <w:r>
              <w:rPr>
                <w:rFonts w:ascii="Times New Roman"/>
                <w:sz w:val="18"/>
                <w:szCs w:val="21"/>
              </w:rPr>
              <w:t>12</w:t>
            </w:r>
          </w:p>
        </w:tc>
        <w:tc>
          <w:tcPr>
            <w:tcW w:w="2310" w:type="dxa"/>
            <w:vAlign w:val="center"/>
          </w:tcPr>
          <w:p w14:paraId="08AC696D">
            <w:pPr>
              <w:pStyle w:val="229"/>
              <w:widowControl w:val="0"/>
              <w:ind w:firstLine="0" w:firstLineChars="0"/>
              <w:jc w:val="center"/>
              <w:rPr>
                <w:rFonts w:ascii="Times New Roman"/>
                <w:sz w:val="18"/>
                <w:szCs w:val="21"/>
              </w:rPr>
            </w:pPr>
            <w:r>
              <w:rPr>
                <w:rFonts w:ascii="Times New Roman"/>
                <w:sz w:val="18"/>
                <w:szCs w:val="21"/>
              </w:rPr>
              <w:t>255</w:t>
            </w:r>
            <w:r>
              <w:rPr>
                <w:rFonts w:hint="eastAsia" w:hAnsi="宋体"/>
                <w:sz w:val="18"/>
                <w:szCs w:val="21"/>
              </w:rPr>
              <w:t>～</w:t>
            </w:r>
            <w:r>
              <w:rPr>
                <w:rFonts w:ascii="Times New Roman"/>
                <w:sz w:val="18"/>
                <w:szCs w:val="21"/>
              </w:rPr>
              <w:t>296</w:t>
            </w:r>
          </w:p>
        </w:tc>
        <w:tc>
          <w:tcPr>
            <w:tcW w:w="2310" w:type="dxa"/>
            <w:vAlign w:val="center"/>
          </w:tcPr>
          <w:p w14:paraId="61EDC764">
            <w:pPr>
              <w:pStyle w:val="229"/>
              <w:widowControl w:val="0"/>
              <w:ind w:firstLine="0" w:firstLineChars="0"/>
              <w:jc w:val="center"/>
              <w:rPr>
                <w:rFonts w:ascii="Times New Roman"/>
                <w:sz w:val="18"/>
                <w:szCs w:val="21"/>
              </w:rPr>
            </w:pPr>
            <w:r>
              <w:rPr>
                <w:rFonts w:ascii="Times New Roman"/>
                <w:sz w:val="18"/>
                <w:szCs w:val="21"/>
              </w:rPr>
              <w:t>20</w:t>
            </w:r>
          </w:p>
        </w:tc>
      </w:tr>
      <w:tr w14:paraId="3D64E9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244AFF20">
            <w:pPr>
              <w:pStyle w:val="229"/>
              <w:widowControl w:val="0"/>
              <w:ind w:firstLine="0" w:firstLineChars="0"/>
              <w:jc w:val="center"/>
              <w:rPr>
                <w:rFonts w:ascii="Times New Roman"/>
                <w:sz w:val="18"/>
                <w:szCs w:val="21"/>
              </w:rPr>
            </w:pPr>
            <w:r>
              <w:rPr>
                <w:rFonts w:ascii="Times New Roman"/>
                <w:sz w:val="18"/>
                <w:szCs w:val="21"/>
              </w:rPr>
              <w:t>65</w:t>
            </w:r>
            <w:r>
              <w:rPr>
                <w:rFonts w:hint="eastAsia" w:hAnsi="宋体"/>
                <w:sz w:val="18"/>
                <w:szCs w:val="21"/>
              </w:rPr>
              <w:t>～</w:t>
            </w:r>
            <w:r>
              <w:rPr>
                <w:rFonts w:ascii="Times New Roman"/>
                <w:sz w:val="18"/>
                <w:szCs w:val="21"/>
              </w:rPr>
              <w:t>81</w:t>
            </w:r>
          </w:p>
        </w:tc>
        <w:tc>
          <w:tcPr>
            <w:tcW w:w="2310" w:type="dxa"/>
            <w:vAlign w:val="center"/>
          </w:tcPr>
          <w:p w14:paraId="35E0A6CA">
            <w:pPr>
              <w:pStyle w:val="229"/>
              <w:widowControl w:val="0"/>
              <w:ind w:firstLine="0" w:firstLineChars="0"/>
              <w:jc w:val="center"/>
              <w:rPr>
                <w:rFonts w:ascii="Times New Roman"/>
                <w:sz w:val="18"/>
                <w:szCs w:val="21"/>
              </w:rPr>
            </w:pPr>
            <w:r>
              <w:rPr>
                <w:rFonts w:ascii="Times New Roman"/>
                <w:sz w:val="18"/>
                <w:szCs w:val="21"/>
              </w:rPr>
              <w:t>13</w:t>
            </w:r>
          </w:p>
        </w:tc>
        <w:tc>
          <w:tcPr>
            <w:tcW w:w="2310" w:type="dxa"/>
            <w:vAlign w:val="center"/>
          </w:tcPr>
          <w:p w14:paraId="7EC55F6D">
            <w:pPr>
              <w:pStyle w:val="229"/>
              <w:widowControl w:val="0"/>
              <w:ind w:firstLine="0" w:firstLineChars="0"/>
              <w:jc w:val="center"/>
              <w:rPr>
                <w:rFonts w:ascii="Times New Roman"/>
                <w:sz w:val="18"/>
                <w:szCs w:val="21"/>
              </w:rPr>
            </w:pPr>
            <w:r>
              <w:rPr>
                <w:rFonts w:ascii="Times New Roman"/>
                <w:sz w:val="18"/>
                <w:szCs w:val="21"/>
              </w:rPr>
              <w:t>297</w:t>
            </w:r>
            <w:r>
              <w:rPr>
                <w:rFonts w:hint="eastAsia" w:hAnsi="宋体"/>
                <w:sz w:val="18"/>
                <w:szCs w:val="21"/>
              </w:rPr>
              <w:t>～</w:t>
            </w:r>
            <w:r>
              <w:rPr>
                <w:rFonts w:ascii="Times New Roman"/>
                <w:sz w:val="18"/>
                <w:szCs w:val="21"/>
              </w:rPr>
              <w:t>343</w:t>
            </w:r>
          </w:p>
        </w:tc>
        <w:tc>
          <w:tcPr>
            <w:tcW w:w="2310" w:type="dxa"/>
            <w:vAlign w:val="center"/>
          </w:tcPr>
          <w:p w14:paraId="48D2FFD2">
            <w:pPr>
              <w:pStyle w:val="229"/>
              <w:widowControl w:val="0"/>
              <w:ind w:firstLine="0" w:firstLineChars="0"/>
              <w:jc w:val="center"/>
              <w:rPr>
                <w:rFonts w:ascii="Times New Roman"/>
                <w:sz w:val="18"/>
                <w:szCs w:val="21"/>
              </w:rPr>
            </w:pPr>
            <w:r>
              <w:rPr>
                <w:rFonts w:ascii="Times New Roman"/>
                <w:sz w:val="18"/>
                <w:szCs w:val="21"/>
              </w:rPr>
              <w:t>21</w:t>
            </w:r>
          </w:p>
        </w:tc>
      </w:tr>
      <w:tr w14:paraId="563B85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42E153A7">
            <w:pPr>
              <w:pStyle w:val="229"/>
              <w:widowControl w:val="0"/>
              <w:ind w:firstLine="0" w:firstLineChars="0"/>
              <w:jc w:val="center"/>
              <w:rPr>
                <w:rFonts w:ascii="Times New Roman"/>
                <w:sz w:val="18"/>
                <w:szCs w:val="21"/>
              </w:rPr>
            </w:pPr>
            <w:r>
              <w:rPr>
                <w:rFonts w:ascii="Times New Roman"/>
                <w:sz w:val="18"/>
                <w:szCs w:val="21"/>
              </w:rPr>
              <w:t>82</w:t>
            </w:r>
            <w:r>
              <w:rPr>
                <w:rFonts w:hint="eastAsia" w:hAnsi="宋体"/>
                <w:sz w:val="18"/>
                <w:szCs w:val="21"/>
              </w:rPr>
              <w:t>～</w:t>
            </w:r>
            <w:r>
              <w:rPr>
                <w:rFonts w:ascii="Times New Roman"/>
                <w:sz w:val="18"/>
                <w:szCs w:val="21"/>
              </w:rPr>
              <w:t>101</w:t>
            </w:r>
          </w:p>
        </w:tc>
        <w:tc>
          <w:tcPr>
            <w:tcW w:w="2310" w:type="dxa"/>
            <w:vAlign w:val="center"/>
          </w:tcPr>
          <w:p w14:paraId="53563B53">
            <w:pPr>
              <w:pStyle w:val="229"/>
              <w:widowControl w:val="0"/>
              <w:ind w:firstLine="0" w:firstLineChars="0"/>
              <w:jc w:val="center"/>
              <w:rPr>
                <w:rFonts w:ascii="Times New Roman"/>
                <w:sz w:val="18"/>
                <w:szCs w:val="21"/>
              </w:rPr>
            </w:pPr>
            <w:r>
              <w:rPr>
                <w:rFonts w:ascii="Times New Roman"/>
                <w:sz w:val="18"/>
                <w:szCs w:val="21"/>
              </w:rPr>
              <w:t>14</w:t>
            </w:r>
          </w:p>
        </w:tc>
        <w:tc>
          <w:tcPr>
            <w:tcW w:w="2310" w:type="dxa"/>
            <w:vAlign w:val="center"/>
          </w:tcPr>
          <w:p w14:paraId="1C36532E">
            <w:pPr>
              <w:pStyle w:val="229"/>
              <w:widowControl w:val="0"/>
              <w:ind w:firstLine="0" w:firstLineChars="0"/>
              <w:jc w:val="center"/>
              <w:rPr>
                <w:rFonts w:ascii="Times New Roman"/>
                <w:sz w:val="18"/>
                <w:szCs w:val="21"/>
              </w:rPr>
            </w:pPr>
            <w:r>
              <w:rPr>
                <w:rFonts w:ascii="Times New Roman"/>
                <w:sz w:val="18"/>
                <w:szCs w:val="21"/>
              </w:rPr>
              <w:t>344</w:t>
            </w:r>
            <w:r>
              <w:rPr>
                <w:rFonts w:hint="eastAsia" w:hAnsi="宋体"/>
                <w:sz w:val="18"/>
                <w:szCs w:val="21"/>
              </w:rPr>
              <w:t>～</w:t>
            </w:r>
            <w:r>
              <w:rPr>
                <w:rFonts w:ascii="Times New Roman"/>
                <w:sz w:val="18"/>
                <w:szCs w:val="21"/>
              </w:rPr>
              <w:t>394</w:t>
            </w:r>
          </w:p>
        </w:tc>
        <w:tc>
          <w:tcPr>
            <w:tcW w:w="2310" w:type="dxa"/>
            <w:vAlign w:val="center"/>
          </w:tcPr>
          <w:p w14:paraId="1EF74C74">
            <w:pPr>
              <w:pStyle w:val="229"/>
              <w:widowControl w:val="0"/>
              <w:ind w:firstLine="0" w:firstLineChars="0"/>
              <w:jc w:val="center"/>
              <w:rPr>
                <w:rFonts w:ascii="Times New Roman"/>
                <w:sz w:val="18"/>
                <w:szCs w:val="21"/>
              </w:rPr>
            </w:pPr>
            <w:r>
              <w:rPr>
                <w:rFonts w:ascii="Times New Roman"/>
                <w:sz w:val="18"/>
                <w:szCs w:val="21"/>
              </w:rPr>
              <w:t>22</w:t>
            </w:r>
          </w:p>
        </w:tc>
      </w:tr>
      <w:tr w14:paraId="053731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5DB708E4">
            <w:pPr>
              <w:pStyle w:val="229"/>
              <w:widowControl w:val="0"/>
              <w:ind w:firstLine="0" w:firstLineChars="0"/>
              <w:jc w:val="center"/>
              <w:rPr>
                <w:rFonts w:ascii="Times New Roman"/>
                <w:sz w:val="18"/>
                <w:szCs w:val="21"/>
              </w:rPr>
            </w:pPr>
            <w:r>
              <w:rPr>
                <w:rFonts w:ascii="Times New Roman"/>
                <w:sz w:val="18"/>
                <w:szCs w:val="21"/>
              </w:rPr>
              <w:t>102</w:t>
            </w:r>
            <w:r>
              <w:rPr>
                <w:rFonts w:hint="eastAsia" w:hAnsi="宋体"/>
                <w:sz w:val="18"/>
                <w:szCs w:val="21"/>
              </w:rPr>
              <w:t>～</w:t>
            </w:r>
            <w:r>
              <w:rPr>
                <w:rFonts w:ascii="Times New Roman"/>
                <w:sz w:val="18"/>
                <w:szCs w:val="21"/>
              </w:rPr>
              <w:t>125</w:t>
            </w:r>
          </w:p>
        </w:tc>
        <w:tc>
          <w:tcPr>
            <w:tcW w:w="2310" w:type="dxa"/>
            <w:vAlign w:val="center"/>
          </w:tcPr>
          <w:p w14:paraId="2B2DFFEC">
            <w:pPr>
              <w:pStyle w:val="229"/>
              <w:widowControl w:val="0"/>
              <w:ind w:firstLine="0" w:firstLineChars="0"/>
              <w:jc w:val="center"/>
              <w:rPr>
                <w:rFonts w:ascii="Times New Roman"/>
                <w:sz w:val="18"/>
                <w:szCs w:val="21"/>
              </w:rPr>
            </w:pPr>
            <w:r>
              <w:rPr>
                <w:rFonts w:ascii="Times New Roman"/>
                <w:sz w:val="18"/>
                <w:szCs w:val="21"/>
              </w:rPr>
              <w:t>15</w:t>
            </w:r>
          </w:p>
        </w:tc>
        <w:tc>
          <w:tcPr>
            <w:tcW w:w="2310" w:type="dxa"/>
            <w:vAlign w:val="center"/>
          </w:tcPr>
          <w:p w14:paraId="7946CEB5">
            <w:pPr>
              <w:pStyle w:val="229"/>
              <w:widowControl w:val="0"/>
              <w:ind w:firstLine="0" w:firstLineChars="0"/>
              <w:jc w:val="center"/>
              <w:rPr>
                <w:rFonts w:ascii="Times New Roman"/>
                <w:sz w:val="18"/>
                <w:szCs w:val="21"/>
              </w:rPr>
            </w:pPr>
            <w:r>
              <w:rPr>
                <w:rFonts w:ascii="Times New Roman"/>
                <w:sz w:val="18"/>
                <w:szCs w:val="21"/>
              </w:rPr>
              <w:t>395</w:t>
            </w:r>
            <w:r>
              <w:rPr>
                <w:rFonts w:hint="eastAsia" w:hAnsi="宋体"/>
                <w:sz w:val="18"/>
                <w:szCs w:val="21"/>
              </w:rPr>
              <w:t>～</w:t>
            </w:r>
            <w:r>
              <w:rPr>
                <w:rFonts w:ascii="Times New Roman"/>
                <w:sz w:val="18"/>
                <w:szCs w:val="21"/>
              </w:rPr>
              <w:t>450</w:t>
            </w:r>
          </w:p>
        </w:tc>
        <w:tc>
          <w:tcPr>
            <w:tcW w:w="2310" w:type="dxa"/>
            <w:vAlign w:val="center"/>
          </w:tcPr>
          <w:p w14:paraId="61A68831">
            <w:pPr>
              <w:pStyle w:val="229"/>
              <w:widowControl w:val="0"/>
              <w:ind w:firstLine="0" w:firstLineChars="0"/>
              <w:jc w:val="center"/>
              <w:rPr>
                <w:rFonts w:ascii="Times New Roman"/>
                <w:sz w:val="18"/>
                <w:szCs w:val="21"/>
              </w:rPr>
            </w:pPr>
            <w:r>
              <w:rPr>
                <w:rFonts w:ascii="Times New Roman"/>
                <w:sz w:val="18"/>
                <w:szCs w:val="21"/>
              </w:rPr>
              <w:t>23</w:t>
            </w:r>
          </w:p>
        </w:tc>
      </w:tr>
      <w:tr w14:paraId="4E1151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0446107E">
            <w:pPr>
              <w:pStyle w:val="229"/>
              <w:widowControl w:val="0"/>
              <w:ind w:firstLine="0" w:firstLineChars="0"/>
              <w:jc w:val="center"/>
              <w:rPr>
                <w:rFonts w:ascii="Times New Roman"/>
                <w:sz w:val="18"/>
                <w:szCs w:val="21"/>
              </w:rPr>
            </w:pPr>
            <w:r>
              <w:rPr>
                <w:rFonts w:ascii="Times New Roman"/>
                <w:sz w:val="18"/>
                <w:szCs w:val="21"/>
              </w:rPr>
              <w:t>126</w:t>
            </w:r>
            <w:r>
              <w:rPr>
                <w:rFonts w:hint="eastAsia" w:hAnsi="宋体"/>
                <w:sz w:val="18"/>
                <w:szCs w:val="21"/>
              </w:rPr>
              <w:t>～</w:t>
            </w:r>
            <w:r>
              <w:rPr>
                <w:rFonts w:ascii="Times New Roman"/>
                <w:sz w:val="18"/>
                <w:szCs w:val="21"/>
              </w:rPr>
              <w:t>151</w:t>
            </w:r>
          </w:p>
        </w:tc>
        <w:tc>
          <w:tcPr>
            <w:tcW w:w="2310" w:type="dxa"/>
            <w:vAlign w:val="center"/>
          </w:tcPr>
          <w:p w14:paraId="712462DE">
            <w:pPr>
              <w:pStyle w:val="229"/>
              <w:widowControl w:val="0"/>
              <w:ind w:firstLine="0" w:firstLineChars="0"/>
              <w:jc w:val="center"/>
              <w:rPr>
                <w:rFonts w:ascii="Times New Roman"/>
                <w:sz w:val="18"/>
                <w:szCs w:val="21"/>
              </w:rPr>
            </w:pPr>
            <w:r>
              <w:rPr>
                <w:rFonts w:ascii="Times New Roman"/>
                <w:sz w:val="18"/>
                <w:szCs w:val="21"/>
              </w:rPr>
              <w:t>16</w:t>
            </w:r>
          </w:p>
        </w:tc>
        <w:tc>
          <w:tcPr>
            <w:tcW w:w="2310" w:type="dxa"/>
            <w:vAlign w:val="center"/>
          </w:tcPr>
          <w:p w14:paraId="10A8722F">
            <w:pPr>
              <w:pStyle w:val="229"/>
              <w:widowControl w:val="0"/>
              <w:ind w:firstLine="0" w:firstLineChars="0"/>
              <w:jc w:val="center"/>
              <w:rPr>
                <w:rFonts w:ascii="Times New Roman"/>
                <w:sz w:val="18"/>
                <w:szCs w:val="21"/>
              </w:rPr>
            </w:pPr>
            <w:r>
              <w:rPr>
                <w:rFonts w:ascii="Times New Roman"/>
                <w:sz w:val="18"/>
                <w:szCs w:val="21"/>
              </w:rPr>
              <w:t>451</w:t>
            </w:r>
            <w:r>
              <w:rPr>
                <w:rFonts w:hint="eastAsia" w:hAnsi="宋体"/>
                <w:sz w:val="18"/>
                <w:szCs w:val="21"/>
              </w:rPr>
              <w:t>～</w:t>
            </w:r>
            <w:r>
              <w:rPr>
                <w:rFonts w:ascii="Times New Roman"/>
                <w:sz w:val="18"/>
                <w:szCs w:val="21"/>
              </w:rPr>
              <w:t>512</w:t>
            </w:r>
          </w:p>
        </w:tc>
        <w:tc>
          <w:tcPr>
            <w:tcW w:w="2310" w:type="dxa"/>
            <w:vAlign w:val="center"/>
          </w:tcPr>
          <w:p w14:paraId="3EFA88DF">
            <w:pPr>
              <w:pStyle w:val="229"/>
              <w:widowControl w:val="0"/>
              <w:ind w:firstLine="0" w:firstLineChars="0"/>
              <w:jc w:val="center"/>
              <w:rPr>
                <w:rFonts w:ascii="Times New Roman"/>
                <w:sz w:val="18"/>
                <w:szCs w:val="21"/>
              </w:rPr>
            </w:pPr>
            <w:r>
              <w:rPr>
                <w:rFonts w:ascii="Times New Roman"/>
                <w:sz w:val="18"/>
                <w:szCs w:val="21"/>
              </w:rPr>
              <w:t>24</w:t>
            </w:r>
          </w:p>
        </w:tc>
      </w:tr>
      <w:tr w14:paraId="5A9008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10" w:type="dxa"/>
            <w:vAlign w:val="center"/>
          </w:tcPr>
          <w:p w14:paraId="2A848CFA">
            <w:pPr>
              <w:pStyle w:val="229"/>
              <w:widowControl w:val="0"/>
              <w:ind w:firstLine="0" w:firstLineChars="0"/>
              <w:jc w:val="center"/>
              <w:rPr>
                <w:rFonts w:ascii="Times New Roman"/>
                <w:sz w:val="18"/>
                <w:szCs w:val="21"/>
              </w:rPr>
            </w:pPr>
            <w:r>
              <w:rPr>
                <w:rFonts w:ascii="Times New Roman"/>
                <w:sz w:val="18"/>
                <w:szCs w:val="21"/>
              </w:rPr>
              <w:t>152</w:t>
            </w:r>
            <w:r>
              <w:rPr>
                <w:rFonts w:hint="eastAsia" w:hAnsi="宋体"/>
                <w:sz w:val="18"/>
                <w:szCs w:val="21"/>
              </w:rPr>
              <w:t>～</w:t>
            </w:r>
            <w:r>
              <w:rPr>
                <w:rFonts w:ascii="Times New Roman"/>
                <w:sz w:val="18"/>
                <w:szCs w:val="21"/>
              </w:rPr>
              <w:t>181</w:t>
            </w:r>
          </w:p>
        </w:tc>
        <w:tc>
          <w:tcPr>
            <w:tcW w:w="2310" w:type="dxa"/>
            <w:vAlign w:val="center"/>
          </w:tcPr>
          <w:p w14:paraId="2E90D610">
            <w:pPr>
              <w:pStyle w:val="229"/>
              <w:widowControl w:val="0"/>
              <w:ind w:firstLine="0" w:firstLineChars="0"/>
              <w:jc w:val="center"/>
              <w:rPr>
                <w:rFonts w:ascii="Times New Roman"/>
                <w:sz w:val="18"/>
                <w:szCs w:val="21"/>
              </w:rPr>
            </w:pPr>
            <w:r>
              <w:rPr>
                <w:rFonts w:ascii="Times New Roman"/>
                <w:sz w:val="18"/>
                <w:szCs w:val="21"/>
              </w:rPr>
              <w:t>17</w:t>
            </w:r>
          </w:p>
        </w:tc>
        <w:tc>
          <w:tcPr>
            <w:tcW w:w="2310" w:type="dxa"/>
            <w:vAlign w:val="center"/>
          </w:tcPr>
          <w:p w14:paraId="080B9202">
            <w:pPr>
              <w:pStyle w:val="229"/>
              <w:widowControl w:val="0"/>
              <w:ind w:firstLine="0" w:firstLineChars="0"/>
              <w:rPr>
                <w:rFonts w:ascii="Times New Roman"/>
                <w:sz w:val="18"/>
                <w:szCs w:val="21"/>
              </w:rPr>
            </w:pPr>
          </w:p>
        </w:tc>
        <w:tc>
          <w:tcPr>
            <w:tcW w:w="2310" w:type="dxa"/>
            <w:vAlign w:val="center"/>
          </w:tcPr>
          <w:p w14:paraId="0E8B80CD">
            <w:pPr>
              <w:pStyle w:val="229"/>
              <w:widowControl w:val="0"/>
              <w:ind w:firstLine="0" w:firstLineChars="0"/>
              <w:jc w:val="center"/>
              <w:rPr>
                <w:rFonts w:ascii="Times New Roman"/>
                <w:sz w:val="18"/>
                <w:szCs w:val="21"/>
              </w:rPr>
            </w:pPr>
          </w:p>
        </w:tc>
      </w:tr>
    </w:tbl>
    <w:p w14:paraId="619BB377">
      <w:pPr>
        <w:pStyle w:val="229"/>
        <w:jc w:val="right"/>
        <w:rPr>
          <w:rFonts w:ascii="Times New Roman"/>
          <w:i/>
          <w:szCs w:val="21"/>
          <w:lang w:val="pt-BR"/>
        </w:rPr>
      </w:pPr>
    </w:p>
    <w:p w14:paraId="77A67043">
      <w:pPr>
        <w:pStyle w:val="229"/>
        <w:jc w:val="right"/>
        <w:rPr>
          <w:rFonts w:ascii="Times New Roman"/>
          <w:szCs w:val="21"/>
          <w:lang w:val="pt-BR"/>
        </w:rPr>
      </w:pPr>
      <w:r>
        <w:rPr>
          <w:rFonts w:hint="eastAsia" w:ascii="Times New Roman"/>
          <w:i/>
          <w:szCs w:val="21"/>
          <w:lang w:val="pt-BR"/>
        </w:rPr>
        <w:t>n</w:t>
      </w:r>
      <w:r>
        <w:rPr>
          <w:rFonts w:ascii="Times New Roman"/>
          <w:szCs w:val="21"/>
          <w:lang w:val="pt-BR"/>
        </w:rPr>
        <w:t>=3×</w:t>
      </w:r>
      <w:r>
        <w:rPr>
          <w:rFonts w:ascii="Times New Roman"/>
          <w:position w:val="-8"/>
          <w:szCs w:val="21"/>
        </w:rPr>
        <w:object>
          <v:shape id="_x0000_i1029" o:spt="75" type="#_x0000_t75" style="height:18.15pt;width:23.15pt;" o:ole="t" filled="f" o:preferrelative="t" stroked="f" coordsize="21600,21600">
            <v:path/>
            <v:fill on="f" focussize="0,0"/>
            <v:stroke on="f" joinstyle="miter"/>
            <v:imagedata r:id="rId26" o:title=""/>
            <o:lock v:ext="edit" aspectratio="t"/>
            <w10:wrap type="none"/>
            <w10:anchorlock/>
          </v:shape>
          <o:OLEObject Type="Embed" ProgID="Equation.DSMT4" ShapeID="_x0000_i1029" DrawAspect="Content" ObjectID="_1468075729" r:id="rId25">
            <o:LockedField>false</o:LockedField>
          </o:OLEObject>
        </w:object>
      </w:r>
      <w:r>
        <w:rPr>
          <w:rFonts w:hint="eastAsia" w:ascii="Times New Roman"/>
          <w:szCs w:val="21"/>
          <w:lang w:val="pt-BR"/>
        </w:rPr>
        <w:t>………………………………………………………</w:t>
      </w:r>
      <w:r>
        <w:rPr>
          <w:rFonts w:ascii="Times New Roman"/>
          <w:szCs w:val="21"/>
          <w:lang w:val="pt-BR"/>
        </w:rPr>
        <w:t>（</w:t>
      </w:r>
      <w:r>
        <w:rPr>
          <w:rFonts w:hint="eastAsia" w:ascii="Times New Roman"/>
          <w:szCs w:val="21"/>
        </w:rPr>
        <w:t>7</w:t>
      </w:r>
      <w:r>
        <w:rPr>
          <w:rFonts w:ascii="Times New Roman"/>
          <w:szCs w:val="21"/>
          <w:lang w:val="pt-BR"/>
        </w:rPr>
        <w:t>）</w:t>
      </w:r>
    </w:p>
    <w:p w14:paraId="3697B507">
      <w:pPr>
        <w:pStyle w:val="56"/>
        <w:ind w:firstLine="420"/>
        <w:rPr>
          <w:lang w:val="pt-BR"/>
        </w:rPr>
      </w:pPr>
      <w:r>
        <w:t>式中</w:t>
      </w:r>
      <w:r>
        <w:rPr>
          <w:lang w:val="pt-BR"/>
        </w:rPr>
        <w:t>：</w:t>
      </w:r>
    </w:p>
    <w:p w14:paraId="30D066B7">
      <w:pPr>
        <w:pStyle w:val="56"/>
        <w:ind w:firstLine="420"/>
      </w:pPr>
      <w:r>
        <w:rPr>
          <w:rFonts w:hint="eastAsia"/>
          <w:i/>
        </w:rPr>
        <w:t>n</w:t>
      </w:r>
      <w:r>
        <w:rPr>
          <w:rFonts w:hint="eastAsia"/>
        </w:rPr>
        <w:t>——最少采样袋数；</w:t>
      </w:r>
    </w:p>
    <w:p w14:paraId="276CDE2A">
      <w:pPr>
        <w:pStyle w:val="56"/>
        <w:ind w:firstLine="420"/>
      </w:pPr>
      <w:r>
        <w:rPr>
          <w:i/>
        </w:rPr>
        <w:t>N</w:t>
      </w:r>
      <w:r>
        <w:rPr>
          <w:rFonts w:hint="eastAsia"/>
        </w:rPr>
        <w:t>——</w:t>
      </w:r>
      <w:r>
        <w:t>每批产品总袋数</w:t>
      </w:r>
      <w:r>
        <w:rPr>
          <w:rFonts w:hint="eastAsia"/>
        </w:rPr>
        <w:t>。</w:t>
      </w:r>
    </w:p>
    <w:p w14:paraId="0C808D46">
      <w:pPr>
        <w:pStyle w:val="56"/>
        <w:ind w:firstLine="420"/>
      </w:pPr>
      <w:r>
        <w:t>按表</w:t>
      </w:r>
      <w:r>
        <w:rPr>
          <w:rFonts w:hint="eastAsia"/>
        </w:rPr>
        <w:t>2</w:t>
      </w:r>
      <w:r>
        <w:t>或式</w:t>
      </w:r>
      <w:r>
        <w:rPr>
          <w:rFonts w:hint="eastAsia"/>
        </w:rPr>
        <w:t>(7)</w:t>
      </w:r>
      <w:r>
        <w:t>计算结果，随机抽取一定量袋数，用采样器从每袋最长对角线插入至袋的三分之二处，取出不少于100</w:t>
      </w:r>
      <w:r>
        <w:rPr>
          <w:rFonts w:hint="eastAsia"/>
        </w:rPr>
        <w:t xml:space="preserve"> </w:t>
      </w:r>
      <w:r>
        <w:t>g的样品，总的取样量不少于2</w:t>
      </w:r>
      <w:r>
        <w:rPr>
          <w:rFonts w:hint="eastAsia"/>
        </w:rPr>
        <w:t xml:space="preserve"> </w:t>
      </w:r>
      <w:r>
        <w:t>kg。稳定性掺混肥料按照</w:t>
      </w:r>
      <w:r>
        <w:rPr>
          <w:rFonts w:hint="eastAsia"/>
        </w:rPr>
        <w:t>GB</w:t>
      </w:r>
      <w:r>
        <w:rPr>
          <w:rFonts w:hint="eastAsia"/>
          <w:color w:val="1552D1"/>
        </w:rPr>
        <w:t>/T</w:t>
      </w:r>
      <w:r>
        <w:rPr>
          <w:rFonts w:hint="eastAsia"/>
        </w:rPr>
        <w:t xml:space="preserve"> 21633中</w:t>
      </w:r>
      <w:r>
        <w:t>规定</w:t>
      </w:r>
      <w:r>
        <w:rPr>
          <w:rFonts w:hint="eastAsia"/>
        </w:rPr>
        <w:t>进行</w:t>
      </w:r>
      <w:r>
        <w:t>采样</w:t>
      </w:r>
      <w:r>
        <w:rPr>
          <w:rFonts w:hint="eastAsia"/>
        </w:rPr>
        <w:t>。</w:t>
      </w:r>
    </w:p>
    <w:p w14:paraId="0D029609">
      <w:pPr>
        <w:pStyle w:val="65"/>
        <w:spacing w:before="156" w:after="156"/>
      </w:pPr>
      <w:bookmarkStart w:id="87" w:name="_Toc231994796"/>
      <w:r>
        <w:t>散装产品</w:t>
      </w:r>
      <w:bookmarkEnd w:id="87"/>
    </w:p>
    <w:p w14:paraId="316E136D">
      <w:pPr>
        <w:pStyle w:val="56"/>
        <w:ind w:firstLine="420"/>
      </w:pPr>
      <w:r>
        <w:rPr>
          <w:rFonts w:hAnsi="宋体"/>
        </w:rPr>
        <w:t>按</w:t>
      </w:r>
      <w:r>
        <w:t>GB/T 6679</w:t>
      </w:r>
      <w:r>
        <w:rPr>
          <w:rFonts w:hint="eastAsia"/>
        </w:rPr>
        <w:t>的</w:t>
      </w:r>
      <w:r>
        <w:rPr>
          <w:rFonts w:hAnsi="宋体"/>
        </w:rPr>
        <w:t>规定进行。</w:t>
      </w:r>
    </w:p>
    <w:p w14:paraId="2607E289">
      <w:pPr>
        <w:pStyle w:val="65"/>
        <w:spacing w:before="156" w:after="156"/>
      </w:pPr>
      <w:bookmarkStart w:id="88" w:name="_Toc231994797"/>
      <w:r>
        <w:rPr>
          <w:rFonts w:hint="eastAsia"/>
        </w:rPr>
        <w:t>液体产品</w:t>
      </w:r>
      <w:bookmarkEnd w:id="88"/>
    </w:p>
    <w:p w14:paraId="4D3DE2BB">
      <w:pPr>
        <w:pStyle w:val="56"/>
        <w:ind w:firstLine="420"/>
        <w:rPr>
          <w:color w:val="1D41D5"/>
        </w:rPr>
      </w:pPr>
      <w:r>
        <w:t>按GB/T 6680的规定执行。采样单元数和样品量按GB/T 6678</w:t>
      </w:r>
      <w:r>
        <w:rPr>
          <w:color w:val="1D41D5"/>
        </w:rPr>
        <w:t>的</w:t>
      </w:r>
      <w:r>
        <w:rPr>
          <w:rFonts w:hint="eastAsia"/>
          <w:color w:val="1D41D5"/>
        </w:rPr>
        <w:t>规定执行。</w:t>
      </w:r>
    </w:p>
    <w:p w14:paraId="61FFDC64">
      <w:pPr>
        <w:pStyle w:val="105"/>
        <w:spacing w:before="156" w:after="156"/>
      </w:pPr>
      <w:bookmarkStart w:id="89" w:name="_Toc231994846"/>
      <w:bookmarkStart w:id="90" w:name="_Toc231994798"/>
      <w:r>
        <w:rPr>
          <w:rFonts w:hint="eastAsia"/>
        </w:rPr>
        <w:t>样品缩分</w:t>
      </w:r>
      <w:bookmarkEnd w:id="89"/>
      <w:bookmarkEnd w:id="90"/>
    </w:p>
    <w:p w14:paraId="6A17C0EC">
      <w:pPr>
        <w:pStyle w:val="65"/>
        <w:spacing w:before="156" w:after="156"/>
      </w:pPr>
      <w:bookmarkStart w:id="91" w:name="_Toc231994799"/>
      <w:r>
        <w:t>颗粒状、粉状样品</w:t>
      </w:r>
      <w:bookmarkEnd w:id="91"/>
    </w:p>
    <w:p w14:paraId="4BC6E2C5">
      <w:pPr>
        <w:pStyle w:val="56"/>
        <w:ind w:firstLine="420"/>
      </w:pPr>
      <w:r>
        <w:t>将</w:t>
      </w:r>
      <w:r>
        <w:rPr>
          <w:rFonts w:hint="eastAsia"/>
        </w:rPr>
        <w:t>按6</w:t>
      </w:r>
      <w:r>
        <w:t>.3.1</w:t>
      </w:r>
      <w:r>
        <w:rPr>
          <w:rFonts w:hint="eastAsia"/>
        </w:rPr>
        <w:t>或6.</w:t>
      </w:r>
      <w:r>
        <w:t>3</w:t>
      </w:r>
      <w:r>
        <w:rPr>
          <w:rFonts w:hint="eastAsia"/>
        </w:rPr>
        <w:t>.</w:t>
      </w:r>
      <w:r>
        <w:t>2采取的样品迅速混匀，用四分法将样品缩分至1000 g，分装于两个洁净、干燥的500</w:t>
      </w:r>
      <w:r>
        <w:rPr>
          <w:rFonts w:hint="eastAsia"/>
        </w:rPr>
        <w:t xml:space="preserve"> </w:t>
      </w:r>
      <w:r>
        <w:t>mL具有磨口塞的广口瓶中，密封、贴上标签，注明生产企业名称、产品名称、批号、取样人姓名，一瓶作产品质量分析，一瓶保存</w:t>
      </w:r>
      <w:r>
        <w:rPr>
          <w:rFonts w:hint="eastAsia"/>
          <w:color w:val="1D41D5"/>
        </w:rPr>
        <w:t>两</w:t>
      </w:r>
      <w:r>
        <w:t>个月，以备查用。</w:t>
      </w:r>
    </w:p>
    <w:p w14:paraId="69D7E5DE">
      <w:pPr>
        <w:pStyle w:val="65"/>
        <w:spacing w:before="156" w:after="156"/>
      </w:pPr>
      <w:bookmarkStart w:id="92" w:name="_Toc231994800"/>
      <w:r>
        <w:t>液体样品</w:t>
      </w:r>
      <w:bookmarkEnd w:id="92"/>
    </w:p>
    <w:p w14:paraId="3EB98172">
      <w:pPr>
        <w:pStyle w:val="56"/>
        <w:ind w:firstLine="420"/>
      </w:pPr>
      <w:r>
        <w:t>将</w:t>
      </w:r>
      <w:r>
        <w:rPr>
          <w:rFonts w:hint="eastAsia"/>
        </w:rPr>
        <w:t>按6.</w:t>
      </w:r>
      <w:r>
        <w:t>3</w:t>
      </w:r>
      <w:r>
        <w:rPr>
          <w:rFonts w:hint="eastAsia"/>
        </w:rPr>
        <w:t>.</w:t>
      </w:r>
      <w:r>
        <w:t>3</w:t>
      </w:r>
      <w:r>
        <w:rPr>
          <w:rFonts w:hint="eastAsia"/>
        </w:rPr>
        <w:t>采取的样品</w:t>
      </w:r>
      <w:r>
        <w:t>，等量分装两个清洁干燥、密封良好的细口瓶中，密封、贴上标签，注明生产企业名称、产品名称、批号、取样人姓名，一瓶作产品质量分析，一瓶保存</w:t>
      </w:r>
      <w:r>
        <w:rPr>
          <w:rFonts w:hint="eastAsia"/>
        </w:rPr>
        <w:t>两</w:t>
      </w:r>
      <w:r>
        <w:t>个月，以备查用。</w:t>
      </w:r>
    </w:p>
    <w:p w14:paraId="10779666">
      <w:pPr>
        <w:pStyle w:val="105"/>
        <w:spacing w:before="156" w:after="156"/>
        <w:rPr>
          <w:color w:val="0000FF"/>
        </w:rPr>
      </w:pPr>
      <w:r>
        <w:rPr>
          <w:rFonts w:hint="eastAsia"/>
          <w:color w:val="0000FF"/>
        </w:rPr>
        <w:t>样品制备</w:t>
      </w:r>
    </w:p>
    <w:p w14:paraId="72261D53">
      <w:pPr>
        <w:pStyle w:val="65"/>
        <w:spacing w:before="156" w:after="156"/>
        <w:rPr>
          <w:color w:val="0000FF"/>
        </w:rPr>
      </w:pPr>
      <w:r>
        <w:rPr>
          <w:rFonts w:hint="eastAsia"/>
          <w:color w:val="0000FF"/>
        </w:rPr>
        <w:t>颗粒状、粉状</w:t>
      </w:r>
      <w:r>
        <w:rPr>
          <w:color w:val="0000FF"/>
        </w:rPr>
        <w:t>样品</w:t>
      </w:r>
    </w:p>
    <w:p w14:paraId="4A0EE6D5">
      <w:pPr>
        <w:pStyle w:val="56"/>
        <w:ind w:firstLine="420"/>
        <w:rPr>
          <w:color w:val="0000FF"/>
        </w:rPr>
      </w:pPr>
      <w:r>
        <w:rPr>
          <w:rFonts w:hint="eastAsia"/>
          <w:color w:val="0000FF"/>
        </w:rPr>
        <w:t>由6.4.1中取一瓶500 g 缩分样品，经多次缩分后取出约100 g 样品，迅速研磨至全部通过0.25 mm  孔径试验筛（如样品潮湿，可以通过1.00 mm 孔径试验筛），混合均匀，置于洁净、干燥瓶中，作成分或性能分析。余下实验室样品供其他指标测定。</w:t>
      </w:r>
    </w:p>
    <w:p w14:paraId="42C3D1B6">
      <w:pPr>
        <w:pStyle w:val="65"/>
        <w:spacing w:before="156" w:after="156"/>
        <w:rPr>
          <w:color w:val="0000FF"/>
        </w:rPr>
      </w:pPr>
      <w:r>
        <w:rPr>
          <w:color w:val="0000FF"/>
        </w:rPr>
        <w:t>液体样品</w:t>
      </w:r>
    </w:p>
    <w:p w14:paraId="239864DB">
      <w:pPr>
        <w:pStyle w:val="56"/>
        <w:ind w:firstLine="420"/>
        <w:rPr>
          <w:color w:val="0000FF"/>
        </w:rPr>
      </w:pPr>
      <w:r>
        <w:rPr>
          <w:rFonts w:hint="eastAsia"/>
          <w:color w:val="0000FF"/>
        </w:rPr>
        <w:t>将6.4.2中样品混合均匀，置于洁净、干燥瓶中，供测定用。</w:t>
      </w:r>
    </w:p>
    <w:p w14:paraId="1D4DA78D">
      <w:pPr>
        <w:pStyle w:val="105"/>
        <w:spacing w:before="156" w:after="156"/>
      </w:pPr>
      <w:bookmarkStart w:id="93" w:name="_Toc231994801"/>
      <w:bookmarkStart w:id="94" w:name="_Toc231994847"/>
      <w:r>
        <w:t>结果判定</w:t>
      </w:r>
      <w:bookmarkEnd w:id="93"/>
      <w:bookmarkEnd w:id="94"/>
    </w:p>
    <w:p w14:paraId="6A5170D9">
      <w:pPr>
        <w:pStyle w:val="165"/>
      </w:pPr>
      <w:r>
        <w:t>本文件中产品质量指标合格判断，采用GB/T 8170中</w:t>
      </w:r>
      <w:r>
        <w:rPr>
          <w:rFonts w:hint="eastAsia"/>
        </w:rPr>
        <w:t>的“</w:t>
      </w:r>
      <w:r>
        <w:t>修约值比较法</w:t>
      </w:r>
      <w:r>
        <w:rPr>
          <w:rFonts w:hint="eastAsia"/>
        </w:rPr>
        <w:t>”</w:t>
      </w:r>
      <w:r>
        <w:t>。</w:t>
      </w:r>
    </w:p>
    <w:p w14:paraId="0C4A87F9">
      <w:pPr>
        <w:pStyle w:val="165"/>
      </w:pPr>
      <w:r>
        <w:t>出厂检验项目合格判定执行相应的产品标准。</w:t>
      </w:r>
    </w:p>
    <w:p w14:paraId="5685ED52">
      <w:pPr>
        <w:pStyle w:val="165"/>
      </w:pPr>
      <w:r>
        <w:rPr>
          <w:color w:val="1552D1"/>
        </w:rPr>
        <w:t>型式检验中如果有一项指标不符合本文件要求</w:t>
      </w:r>
      <w:r>
        <w:t>，应重新自二倍量的包装袋中采取样品进行检验，重新检验结果中，即使有一项指标不符合本文件要求，则整批产品为不合格。</w:t>
      </w:r>
    </w:p>
    <w:p w14:paraId="27435450">
      <w:pPr>
        <w:pStyle w:val="165"/>
      </w:pPr>
      <w:r>
        <w:t>每批经过检验合格的出厂产品应附有质量证明书，其内容包括：生产企业名称、地址、产品名称、批号或生产日期、净含量、表1中规定的指标值</w:t>
      </w:r>
      <w:r>
        <w:rPr>
          <w:rFonts w:hint="eastAsia"/>
        </w:rPr>
        <w:t>（最近一次型式检验时的检测值）、</w:t>
      </w:r>
      <w:r>
        <w:t>本</w:t>
      </w:r>
      <w:r>
        <w:rPr>
          <w:color w:val="0000FF"/>
        </w:rPr>
        <w:t>文件</w:t>
      </w:r>
      <w:r>
        <w:t>号</w:t>
      </w:r>
      <w:r>
        <w:rPr>
          <w:color w:val="1D41D5"/>
        </w:rPr>
        <w:t>及</w:t>
      </w:r>
      <w:r>
        <w:rPr>
          <w:rFonts w:hint="eastAsia" w:hAnsi="宋体" w:cs="宋体"/>
          <w:color w:val="1D41D5"/>
          <w:szCs w:val="21"/>
          <w:lang w:bidi="ar"/>
        </w:rPr>
        <w:t>基础肥料国家标准或行业标准编号</w:t>
      </w:r>
      <w:r>
        <w:t>。</w:t>
      </w:r>
      <w:r>
        <w:rPr>
          <w:rFonts w:hint="eastAsia"/>
          <w:color w:val="FF0000"/>
          <w:lang w:val="en-US" w:eastAsia="zh-CN"/>
        </w:rPr>
        <w:t>采用含量指标作为技术指标的产品，质量证明书</w:t>
      </w:r>
      <w:r>
        <w:rPr>
          <w:rFonts w:hint="eastAsia"/>
          <w:color w:val="FF0000"/>
          <w:lang w:val="en-US" w:eastAsia="zh-CN"/>
        </w:rPr>
        <w:t>还需标明相应抑制剂的名称和</w:t>
      </w:r>
      <w:bookmarkStart w:id="133" w:name="_GoBack"/>
      <w:bookmarkEnd w:id="133"/>
      <w:r>
        <w:rPr>
          <w:rFonts w:hint="eastAsia"/>
          <w:color w:val="FF0000"/>
          <w:lang w:val="en-US" w:eastAsia="zh-CN"/>
        </w:rPr>
        <w:t>含量。</w:t>
      </w:r>
    </w:p>
    <w:p w14:paraId="4A677956">
      <w:pPr>
        <w:pStyle w:val="104"/>
        <w:spacing w:before="312" w:after="312"/>
      </w:pPr>
      <w:bookmarkStart w:id="95" w:name="_Toc231994848"/>
      <w:bookmarkStart w:id="96" w:name="_Toc231994802"/>
      <w:r>
        <w:rPr>
          <w:rFonts w:hint="eastAsia"/>
        </w:rPr>
        <w:t>标识</w:t>
      </w:r>
      <w:bookmarkEnd w:id="95"/>
      <w:bookmarkEnd w:id="96"/>
      <w:r>
        <w:rPr>
          <w:rFonts w:hint="eastAsia"/>
        </w:rPr>
        <w:t xml:space="preserve">  </w:t>
      </w:r>
    </w:p>
    <w:p w14:paraId="6994C00D">
      <w:pPr>
        <w:pStyle w:val="165"/>
        <w:numPr>
          <w:numId w:val="0"/>
        </w:numPr>
        <w:ind w:leftChars="0"/>
        <w:rPr>
          <w:rFonts w:hint="eastAsia" w:hAnsi="宋体" w:cs="宋体"/>
          <w:szCs w:val="21"/>
        </w:rPr>
      </w:pPr>
    </w:p>
    <w:p w14:paraId="7190F1F5">
      <w:pPr>
        <w:pStyle w:val="165"/>
        <w:numPr>
          <w:numId w:val="0"/>
        </w:numPr>
        <w:ind w:leftChars="0"/>
      </w:pPr>
      <w:r>
        <w:rPr>
          <w:rFonts w:hint="eastAsia" w:ascii="黑体" w:hAnsi="黑体" w:eastAsia="黑体" w:cs="黑体"/>
          <w:b w:val="0"/>
          <w:bCs w:val="0"/>
          <w:szCs w:val="21"/>
          <w:lang w:val="en-US" w:eastAsia="zh-CN"/>
        </w:rPr>
        <w:t xml:space="preserve">7.1 </w:t>
      </w:r>
      <w:r>
        <w:rPr>
          <w:rFonts w:hint="eastAsia" w:hAnsi="宋体" w:cs="宋体"/>
          <w:szCs w:val="21"/>
        </w:rPr>
        <w:t>产品标识除应符合GB 18382及相应基础肥料标准的规定外，还应符合以下要求：</w:t>
      </w:r>
      <w:r>
        <w:t>应在包装袋上标明产品名称、稳定性肥料类型（</w:t>
      </w:r>
      <w:r>
        <w:rPr>
          <w:rFonts w:hint="eastAsia"/>
        </w:rPr>
        <w:t>脲酶抑制型（</w:t>
      </w:r>
      <w:r>
        <w:rPr>
          <w:rFonts w:hint="eastAsia" w:ascii="Times New Roman"/>
        </w:rPr>
        <w:t>Ⅰ型</w:t>
      </w:r>
      <w:r>
        <w:rPr>
          <w:rFonts w:hint="eastAsia"/>
        </w:rPr>
        <w:t>）、硝化抑制型</w:t>
      </w:r>
      <w:r>
        <w:rPr>
          <w:rFonts w:hint="eastAsia" w:ascii="Times New Roman"/>
        </w:rPr>
        <w:t>（Ⅱ型）</w:t>
      </w:r>
      <w:r>
        <w:rPr>
          <w:rFonts w:hint="eastAsia"/>
        </w:rPr>
        <w:t>或复合型</w:t>
      </w:r>
      <w:r>
        <w:rPr>
          <w:rFonts w:hint="eastAsia" w:ascii="Times New Roman"/>
        </w:rPr>
        <w:t>（Ⅲ型）</w:t>
      </w:r>
      <w:r>
        <w:t>）、</w:t>
      </w:r>
      <w:r>
        <w:rPr>
          <w:rFonts w:hint="eastAsia"/>
        </w:rPr>
        <w:t>本文件编</w:t>
      </w:r>
      <w:r>
        <w:t>号和相应基础肥料标准</w:t>
      </w:r>
      <w:r>
        <w:rPr>
          <w:rFonts w:hint="eastAsia"/>
        </w:rPr>
        <w:t>编</w:t>
      </w:r>
      <w:r>
        <w:t>号。</w:t>
      </w:r>
      <w:r>
        <w:rPr>
          <w:rFonts w:hint="eastAsia"/>
          <w:color w:val="FF0000"/>
          <w:lang w:val="en-US" w:eastAsia="zh-CN"/>
        </w:rPr>
        <w:t>采用含量指标作为技术指标的产品，</w:t>
      </w:r>
      <w:r>
        <w:rPr>
          <w:rFonts w:hint="eastAsia" w:hAnsi="宋体" w:cs="宋体"/>
          <w:color w:val="FF0000"/>
          <w:szCs w:val="21"/>
        </w:rPr>
        <w:t>产品标识</w:t>
      </w:r>
      <w:r>
        <w:rPr>
          <w:rFonts w:hint="eastAsia"/>
          <w:color w:val="FF0000"/>
          <w:lang w:val="en-US" w:eastAsia="zh-CN"/>
        </w:rPr>
        <w:t>还需标明相应抑制剂的名称和含量。</w:t>
      </w:r>
    </w:p>
    <w:p w14:paraId="6D5CFD34">
      <w:pPr>
        <w:pStyle w:val="162"/>
        <w:numPr>
          <w:ilvl w:val="2"/>
          <w:numId w:val="0"/>
        </w:numPr>
        <w:rPr>
          <w:color w:val="1552D1"/>
          <w:sz w:val="18"/>
          <w:szCs w:val="18"/>
        </w:rPr>
      </w:pPr>
      <w:r>
        <w:rPr>
          <w:rFonts w:hint="eastAsia"/>
        </w:rPr>
        <w:t xml:space="preserve">   </w:t>
      </w:r>
      <w:r>
        <w:rPr>
          <w:color w:val="1552D1"/>
          <w:sz w:val="18"/>
          <w:szCs w:val="18"/>
        </w:rPr>
        <w:t>注：产品名称按基础肥料的种类确定，如基础肥料为尿素时，产品名称为：稳定性尿素；如基础肥料为复</w:t>
      </w:r>
      <w:r>
        <w:rPr>
          <w:rFonts w:hint="eastAsia"/>
          <w:color w:val="1552D1"/>
          <w:sz w:val="18"/>
          <w:szCs w:val="18"/>
        </w:rPr>
        <w:t>合</w:t>
      </w:r>
      <w:r>
        <w:rPr>
          <w:color w:val="1552D1"/>
          <w:sz w:val="18"/>
          <w:szCs w:val="18"/>
        </w:rPr>
        <w:t>肥料时， 产品名称为：稳定性复</w:t>
      </w:r>
      <w:r>
        <w:rPr>
          <w:rFonts w:hint="eastAsia"/>
          <w:color w:val="1552D1"/>
          <w:sz w:val="18"/>
          <w:szCs w:val="18"/>
        </w:rPr>
        <w:t>合</w:t>
      </w:r>
      <w:r>
        <w:rPr>
          <w:color w:val="1552D1"/>
          <w:sz w:val="18"/>
          <w:szCs w:val="18"/>
        </w:rPr>
        <w:t>肥料。</w:t>
      </w:r>
    </w:p>
    <w:p w14:paraId="27484E10">
      <w:pPr>
        <w:pStyle w:val="104"/>
        <w:spacing w:before="312" w:after="312"/>
      </w:pPr>
      <w:bookmarkStart w:id="97" w:name="_Toc231994849"/>
      <w:bookmarkStart w:id="98" w:name="_Toc231994803"/>
      <w:r>
        <w:rPr>
          <w:rFonts w:hint="eastAsia"/>
        </w:rPr>
        <w:t>包装、运输和贮存</w:t>
      </w:r>
      <w:bookmarkEnd w:id="97"/>
      <w:bookmarkEnd w:id="98"/>
    </w:p>
    <w:p w14:paraId="338859C0">
      <w:pPr>
        <w:pStyle w:val="162"/>
      </w:pPr>
      <w:r>
        <w:rPr>
          <w:rFonts w:hAnsi="宋体"/>
        </w:rPr>
        <w:t>产品应使用符合</w:t>
      </w:r>
      <w:r>
        <w:rPr>
          <w:color w:val="1552D1"/>
        </w:rPr>
        <w:t>GB</w:t>
      </w:r>
      <w:r>
        <w:rPr>
          <w:rFonts w:hint="eastAsia"/>
          <w:color w:val="1552D1"/>
        </w:rPr>
        <w:t xml:space="preserve">/T </w:t>
      </w:r>
      <w:r>
        <w:t>8569</w:t>
      </w:r>
      <w:r>
        <w:rPr>
          <w:rFonts w:hAnsi="宋体"/>
        </w:rPr>
        <w:t>要求的材料包装，</w:t>
      </w:r>
      <w:r>
        <w:rPr>
          <w:rFonts w:hint="eastAsia" w:hAnsi="宋体" w:cs="宋体"/>
          <w:color w:val="1552D1"/>
          <w:szCs w:val="21"/>
        </w:rPr>
        <w:t>包装规格应符合相应基础肥料标准的规定，也可使用供需双方商定的其他规格包装，以基础肥料标准为准。</w:t>
      </w:r>
    </w:p>
    <w:p w14:paraId="4178E94A">
      <w:pPr>
        <w:pStyle w:val="162"/>
      </w:pPr>
      <w:r>
        <w:t>在标明的每袋净含量范围内的产品中有添加物时，</w:t>
      </w:r>
      <w:r>
        <w:rPr>
          <w:rFonts w:hint="eastAsia"/>
        </w:rPr>
        <w:t>应</w:t>
      </w:r>
      <w:r>
        <w:t>与原物料混合均匀，不</w:t>
      </w:r>
      <w:r>
        <w:rPr>
          <w:rFonts w:hint="eastAsia"/>
        </w:rPr>
        <w:t>应</w:t>
      </w:r>
      <w:r>
        <w:t>以小包装形式放入包装袋中。</w:t>
      </w:r>
    </w:p>
    <w:p w14:paraId="264A1095">
      <w:pPr>
        <w:pStyle w:val="162"/>
      </w:pPr>
      <w:r>
        <w:t>产品应贮存于阴凉干燥处，在运输过程中应防潮、防晒、防破损。</w:t>
      </w:r>
    </w:p>
    <w:p w14:paraId="3C7A9A62">
      <w:pPr>
        <w:pStyle w:val="56"/>
        <w:ind w:firstLine="420"/>
      </w:pPr>
    </w:p>
    <w:p w14:paraId="67862078">
      <w:pPr>
        <w:pStyle w:val="56"/>
        <w:ind w:firstLine="420"/>
      </w:pPr>
    </w:p>
    <w:p w14:paraId="38CB9999">
      <w:pPr>
        <w:pStyle w:val="56"/>
        <w:ind w:firstLine="420"/>
      </w:pPr>
    </w:p>
    <w:p w14:paraId="403393F8">
      <w:pPr>
        <w:pStyle w:val="56"/>
        <w:ind w:firstLine="420"/>
      </w:pPr>
    </w:p>
    <w:p w14:paraId="69337883">
      <w:pPr>
        <w:pStyle w:val="56"/>
        <w:ind w:firstLine="420"/>
      </w:pPr>
    </w:p>
    <w:p w14:paraId="6CE34665">
      <w:pPr>
        <w:pStyle w:val="56"/>
        <w:ind w:firstLine="420"/>
      </w:pPr>
    </w:p>
    <w:p w14:paraId="654D850E">
      <w:pPr>
        <w:pStyle w:val="56"/>
        <w:ind w:firstLine="420"/>
      </w:pPr>
    </w:p>
    <w:p w14:paraId="27DCC192">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3"/>
    <w:p w14:paraId="1EDFCF9B">
      <w:pPr>
        <w:pStyle w:val="198"/>
        <w:rPr>
          <w:vanish w:val="0"/>
        </w:rPr>
      </w:pPr>
      <w:bookmarkStart w:id="99" w:name="BookMark5"/>
    </w:p>
    <w:p w14:paraId="2E5A22E0">
      <w:pPr>
        <w:pStyle w:val="199"/>
        <w:rPr>
          <w:vanish w:val="0"/>
        </w:rPr>
      </w:pPr>
    </w:p>
    <w:p w14:paraId="526901E6">
      <w:pPr>
        <w:pStyle w:val="76"/>
        <w:spacing w:after="156"/>
      </w:pPr>
      <w:r>
        <w:br w:type="textWrapping"/>
      </w:r>
      <w:bookmarkStart w:id="100" w:name="_Toc231994804"/>
      <w:bookmarkStart w:id="101" w:name="_Toc231994850"/>
      <w:r>
        <w:rPr>
          <w:rFonts w:hint="eastAsia"/>
        </w:rPr>
        <w:t>（规范性）</w:t>
      </w:r>
      <w:r>
        <w:br w:type="textWrapping"/>
      </w:r>
      <w:r>
        <w:rPr>
          <w:rFonts w:hint="eastAsia"/>
        </w:rPr>
        <w:t>对照样品称取方法示例</w:t>
      </w:r>
      <w:bookmarkEnd w:id="100"/>
      <w:bookmarkEnd w:id="101"/>
    </w:p>
    <w:p w14:paraId="48671130">
      <w:pPr>
        <w:pStyle w:val="78"/>
        <w:spacing w:before="156" w:after="156"/>
      </w:pPr>
      <w:bookmarkStart w:id="102" w:name="_Toc231994851"/>
      <w:bookmarkStart w:id="103" w:name="_Toc231994805"/>
      <w:r>
        <w:rPr>
          <w:rFonts w:hint="eastAsia"/>
        </w:rPr>
        <w:t>尿素残留差异率指标的</w:t>
      </w:r>
      <w:r>
        <w:t>对照</w:t>
      </w:r>
      <w:r>
        <w:rPr>
          <w:rFonts w:hint="eastAsia"/>
        </w:rPr>
        <w:t>样品</w:t>
      </w:r>
      <w:r>
        <w:t>称取方法示例</w:t>
      </w:r>
      <w:r>
        <w:rPr>
          <w:rFonts w:hint="eastAsia"/>
        </w:rPr>
        <w:t>1</w:t>
      </w:r>
      <w:bookmarkEnd w:id="102"/>
      <w:bookmarkEnd w:id="103"/>
    </w:p>
    <w:p w14:paraId="03C4362E">
      <w:pPr>
        <w:pStyle w:val="56"/>
        <w:ind w:firstLine="420"/>
      </w:pPr>
      <w:r>
        <w:t>以配方为26-11-11的</w:t>
      </w:r>
      <w:r>
        <w:rPr>
          <w:rFonts w:hint="eastAsia"/>
        </w:rPr>
        <w:t>稳定性复合</w:t>
      </w:r>
      <w:r>
        <w:t>肥料</w:t>
      </w:r>
      <w:r>
        <w:rPr>
          <w:rFonts w:hint="eastAsia"/>
        </w:rPr>
        <w:t>（不含硝态氮）</w:t>
      </w:r>
      <w:r>
        <w:t>为例</w:t>
      </w:r>
      <w:r>
        <w:rPr>
          <w:rFonts w:hint="eastAsia"/>
        </w:rPr>
        <w:t>：</w:t>
      </w:r>
    </w:p>
    <w:p w14:paraId="7918E8C9">
      <w:pPr>
        <w:pStyle w:val="109"/>
      </w:pPr>
      <w:r>
        <w:t>根据5.2.4.1方法测得试样中的尿素含量为40.8%，即尿素（分析纯，其氮含量为46.67%）的称样量为：1.500×40.8%=0.612 g；</w:t>
      </w:r>
    </w:p>
    <w:p w14:paraId="1EB98B8F">
      <w:pPr>
        <w:pStyle w:val="109"/>
      </w:pPr>
      <w:r>
        <w:t>根据试样中P</w:t>
      </w:r>
      <w:r>
        <w:rPr>
          <w:vertAlign w:val="subscript"/>
        </w:rPr>
        <w:t>2</w:t>
      </w:r>
      <w:r>
        <w:t>O</w:t>
      </w:r>
      <w:r>
        <w:rPr>
          <w:vertAlign w:val="subscript"/>
        </w:rPr>
        <w:t>5</w:t>
      </w:r>
      <w:r>
        <w:t>的含量11%计算出磷酸</w:t>
      </w:r>
      <w:r>
        <w:rPr>
          <w:rFonts w:hint="eastAsia"/>
        </w:rPr>
        <w:t>二氢铵（分析纯，其</w:t>
      </w:r>
      <w:r>
        <w:t>P</w:t>
      </w:r>
      <w:r>
        <w:rPr>
          <w:vertAlign w:val="subscript"/>
        </w:rPr>
        <w:t>2</w:t>
      </w:r>
      <w:r>
        <w:t>O</w:t>
      </w:r>
      <w:r>
        <w:rPr>
          <w:vertAlign w:val="subscript"/>
        </w:rPr>
        <w:t>5</w:t>
      </w:r>
      <w:r>
        <w:t>含量为</w:t>
      </w:r>
      <w:r>
        <w:rPr>
          <w:rFonts w:hint="eastAsia"/>
        </w:rPr>
        <w:t>61</w:t>
      </w:r>
      <w:r>
        <w:t>%、</w:t>
      </w:r>
      <w:r>
        <w:rPr>
          <w:rFonts w:hint="eastAsia"/>
        </w:rPr>
        <w:t>氮</w:t>
      </w:r>
      <w:r>
        <w:t>含量为1</w:t>
      </w:r>
      <w:r>
        <w:rPr>
          <w:rFonts w:hint="eastAsia"/>
        </w:rPr>
        <w:t>2</w:t>
      </w:r>
      <w:r>
        <w:t>%）的称样量为：1.5</w:t>
      </w:r>
      <w:r>
        <w:rPr>
          <w:rFonts w:hint="eastAsia"/>
        </w:rPr>
        <w:t>00×</w:t>
      </w:r>
      <w:r>
        <w:t>11%/</w:t>
      </w:r>
      <w:r>
        <w:rPr>
          <w:rFonts w:hint="eastAsia"/>
        </w:rPr>
        <w:t>61</w:t>
      </w:r>
      <w:r>
        <w:t>%=0.</w:t>
      </w:r>
      <w:r>
        <w:rPr>
          <w:rFonts w:hint="eastAsia"/>
        </w:rPr>
        <w:t xml:space="preserve">270 </w:t>
      </w:r>
      <w:r>
        <w:t>g；</w:t>
      </w:r>
    </w:p>
    <w:p w14:paraId="508CB099">
      <w:pPr>
        <w:pStyle w:val="109"/>
      </w:pPr>
      <w:r>
        <w:t>剩余氮用氯化铵补齐，即氯化铵（</w:t>
      </w:r>
      <w:r>
        <w:rPr>
          <w:rFonts w:hint="eastAsia"/>
        </w:rPr>
        <w:t>分析纯，其氮</w:t>
      </w:r>
      <w:r>
        <w:t>含量为26</w:t>
      </w:r>
      <w:r>
        <w:rPr>
          <w:rFonts w:hint="eastAsia"/>
        </w:rPr>
        <w:t>.17</w:t>
      </w:r>
      <w:r>
        <w:t>%）的称样量为：（1.5</w:t>
      </w:r>
      <w:r>
        <w:rPr>
          <w:rFonts w:hint="eastAsia"/>
        </w:rPr>
        <w:t>00×</w:t>
      </w:r>
      <w:r>
        <w:t>26%</w:t>
      </w:r>
      <w:r>
        <w:rPr>
          <w:rFonts w:hint="eastAsia"/>
        </w:rPr>
        <w:t>－</w:t>
      </w:r>
      <w:r>
        <w:t>0.61</w:t>
      </w:r>
      <w:r>
        <w:rPr>
          <w:rFonts w:hint="eastAsia"/>
        </w:rPr>
        <w:t>2×</w:t>
      </w:r>
      <w:r>
        <w:t>46</w:t>
      </w:r>
      <w:r>
        <w:rPr>
          <w:rFonts w:hint="eastAsia"/>
        </w:rPr>
        <w:t>.67</w:t>
      </w:r>
      <w:r>
        <w:t>%</w:t>
      </w:r>
      <w:r>
        <w:rPr>
          <w:rFonts w:hint="eastAsia"/>
        </w:rPr>
        <w:t>－</w:t>
      </w:r>
      <w:r>
        <w:t>0.</w:t>
      </w:r>
      <w:r>
        <w:rPr>
          <w:rFonts w:hint="eastAsia"/>
        </w:rPr>
        <w:t>270×</w:t>
      </w:r>
      <w:r>
        <w:t>1</w:t>
      </w:r>
      <w:r>
        <w:rPr>
          <w:rFonts w:hint="eastAsia"/>
        </w:rPr>
        <w:t>2</w:t>
      </w:r>
      <w:r>
        <w:t>%）/</w:t>
      </w:r>
      <w:r>
        <w:rPr>
          <w:rFonts w:hint="eastAsia"/>
        </w:rPr>
        <w:t>26.17</w:t>
      </w:r>
      <w:r>
        <w:t>%=0.</w:t>
      </w:r>
      <w:r>
        <w:rPr>
          <w:rFonts w:hint="eastAsia"/>
        </w:rPr>
        <w:t xml:space="preserve">275 </w:t>
      </w:r>
      <w:r>
        <w:t>g</w:t>
      </w:r>
      <w:r>
        <w:rPr>
          <w:rFonts w:hint="eastAsia"/>
        </w:rPr>
        <w:t>；</w:t>
      </w:r>
    </w:p>
    <w:p w14:paraId="59FF3038">
      <w:pPr>
        <w:pStyle w:val="109"/>
      </w:pPr>
      <w:r>
        <w:t>根据试样中K</w:t>
      </w:r>
      <w:r>
        <w:rPr>
          <w:vertAlign w:val="subscript"/>
        </w:rPr>
        <w:t>2</w:t>
      </w:r>
      <w:r>
        <w:t>O的含量11%计算出氯化钾（</w:t>
      </w:r>
      <w:r>
        <w:rPr>
          <w:rFonts w:hint="eastAsia"/>
        </w:rPr>
        <w:t>分析纯，其</w:t>
      </w:r>
      <w:r>
        <w:t>K</w:t>
      </w:r>
      <w:r>
        <w:rPr>
          <w:vertAlign w:val="subscript"/>
        </w:rPr>
        <w:t>2</w:t>
      </w:r>
      <w:r>
        <w:t>O含量为</w:t>
      </w:r>
      <w:r>
        <w:rPr>
          <w:rFonts w:hint="eastAsia"/>
        </w:rPr>
        <w:t>63.04</w:t>
      </w:r>
      <w:r>
        <w:t>%）的称样量为：1.5</w:t>
      </w:r>
      <w:r>
        <w:rPr>
          <w:rFonts w:hint="eastAsia"/>
        </w:rPr>
        <w:t>00×</w:t>
      </w:r>
      <w:r>
        <w:t>11%/</w:t>
      </w:r>
      <w:r>
        <w:rPr>
          <w:rFonts w:hint="eastAsia"/>
        </w:rPr>
        <w:t>63.04</w:t>
      </w:r>
      <w:r>
        <w:t>%=0.2</w:t>
      </w:r>
      <w:r>
        <w:rPr>
          <w:rFonts w:hint="eastAsia"/>
        </w:rPr>
        <w:t xml:space="preserve">62 </w:t>
      </w:r>
      <w:r>
        <w:t>g</w:t>
      </w:r>
      <w:r>
        <w:rPr>
          <w:rFonts w:hint="eastAsia"/>
        </w:rPr>
        <w:t>。</w:t>
      </w:r>
    </w:p>
    <w:p w14:paraId="277D8DE5">
      <w:pPr>
        <w:pStyle w:val="78"/>
        <w:spacing w:before="156" w:after="156"/>
      </w:pPr>
      <w:bookmarkStart w:id="104" w:name="_Toc231994806"/>
      <w:bookmarkStart w:id="105" w:name="_Toc231994852"/>
      <w:r>
        <w:rPr>
          <w:rFonts w:hint="eastAsia"/>
        </w:rPr>
        <w:t>尿素残留差异率指标的</w:t>
      </w:r>
      <w:r>
        <w:t>对照</w:t>
      </w:r>
      <w:r>
        <w:rPr>
          <w:rFonts w:hint="eastAsia"/>
        </w:rPr>
        <w:t>样品</w:t>
      </w:r>
      <w:r>
        <w:t>称取方法示例</w:t>
      </w:r>
      <w:r>
        <w:rPr>
          <w:rFonts w:hint="eastAsia"/>
        </w:rPr>
        <w:t>2</w:t>
      </w:r>
      <w:bookmarkEnd w:id="104"/>
      <w:bookmarkEnd w:id="105"/>
    </w:p>
    <w:p w14:paraId="7956B826">
      <w:pPr>
        <w:pStyle w:val="56"/>
        <w:ind w:firstLine="420"/>
      </w:pPr>
      <w:r>
        <w:t>以配方为26-1</w:t>
      </w:r>
      <w:r>
        <w:rPr>
          <w:rFonts w:hint="eastAsia"/>
        </w:rPr>
        <w:t>0</w:t>
      </w:r>
      <w:r>
        <w:t>-1</w:t>
      </w:r>
      <w:r>
        <w:rPr>
          <w:rFonts w:hint="eastAsia"/>
        </w:rPr>
        <w:t>2</w:t>
      </w:r>
      <w:r>
        <w:t>的</w:t>
      </w:r>
      <w:r>
        <w:rPr>
          <w:rFonts w:hint="eastAsia"/>
        </w:rPr>
        <w:t>稳定性复合</w:t>
      </w:r>
      <w:r>
        <w:t>肥料</w:t>
      </w:r>
      <w:r>
        <w:rPr>
          <w:rFonts w:hint="eastAsia"/>
        </w:rPr>
        <w:t>（含硝态氮）</w:t>
      </w:r>
      <w:r>
        <w:t>为例</w:t>
      </w:r>
      <w:r>
        <w:rPr>
          <w:rFonts w:hint="eastAsia"/>
        </w:rPr>
        <w:t>：</w:t>
      </w:r>
    </w:p>
    <w:p w14:paraId="34A08C72">
      <w:pPr>
        <w:pStyle w:val="109"/>
        <w:numPr>
          <w:ilvl w:val="0"/>
          <w:numId w:val="32"/>
        </w:numPr>
      </w:pPr>
      <w:r>
        <w:rPr>
          <w:rFonts w:hAnsi="宋体"/>
        </w:rPr>
        <w:t xml:space="preserve"> 根据5.2.4.1方法测得试样中的尿素含量为41.9%，即尿素（分析纯，其氮含量为46.67%）的称样量为：1.500×41.9% = 0.629 g；</w:t>
      </w:r>
    </w:p>
    <w:p w14:paraId="2213E284">
      <w:pPr>
        <w:pStyle w:val="109"/>
        <w:numPr>
          <w:ilvl w:val="0"/>
          <w:numId w:val="32"/>
        </w:numPr>
        <w:rPr>
          <w:rFonts w:hAnsi="宋体"/>
        </w:rPr>
      </w:pPr>
      <w:r>
        <w:rPr>
          <w:rFonts w:hAnsi="宋体"/>
        </w:rPr>
        <w:t xml:space="preserve"> 根据试样中P</w:t>
      </w:r>
      <w:r>
        <w:rPr>
          <w:rFonts w:hAnsi="宋体"/>
          <w:vertAlign w:val="subscript"/>
        </w:rPr>
        <w:t>2</w:t>
      </w:r>
      <w:r>
        <w:rPr>
          <w:rFonts w:hAnsi="宋体"/>
        </w:rPr>
        <w:t>O</w:t>
      </w:r>
      <w:r>
        <w:rPr>
          <w:rFonts w:hAnsi="宋体"/>
          <w:vertAlign w:val="subscript"/>
        </w:rPr>
        <w:t>5</w:t>
      </w:r>
      <w:r>
        <w:rPr>
          <w:rFonts w:hAnsi="宋体"/>
        </w:rPr>
        <w:t>的含量1</w:t>
      </w:r>
      <w:r>
        <w:rPr>
          <w:rFonts w:hint="eastAsia" w:hAnsi="宋体"/>
        </w:rPr>
        <w:t>0</w:t>
      </w:r>
      <w:r>
        <w:rPr>
          <w:rFonts w:hAnsi="宋体"/>
        </w:rPr>
        <w:t>%计算出磷酸</w:t>
      </w:r>
      <w:r>
        <w:rPr>
          <w:rFonts w:hint="eastAsia" w:hAnsi="宋体"/>
        </w:rPr>
        <w:t>二氢铵（分析纯，其</w:t>
      </w:r>
      <w:r>
        <w:rPr>
          <w:rFonts w:hAnsi="宋体"/>
        </w:rPr>
        <w:t>P</w:t>
      </w:r>
      <w:r>
        <w:rPr>
          <w:rFonts w:hAnsi="宋体"/>
          <w:vertAlign w:val="subscript"/>
        </w:rPr>
        <w:t>2</w:t>
      </w:r>
      <w:r>
        <w:rPr>
          <w:rFonts w:hAnsi="宋体"/>
        </w:rPr>
        <w:t>O</w:t>
      </w:r>
      <w:r>
        <w:rPr>
          <w:rFonts w:hAnsi="宋体"/>
          <w:vertAlign w:val="subscript"/>
        </w:rPr>
        <w:t>5</w:t>
      </w:r>
      <w:r>
        <w:rPr>
          <w:rFonts w:hAnsi="宋体"/>
        </w:rPr>
        <w:t>含量为</w:t>
      </w:r>
      <w:r>
        <w:rPr>
          <w:rFonts w:hint="eastAsia" w:hAnsi="宋体"/>
        </w:rPr>
        <w:t>61</w:t>
      </w:r>
      <w:r>
        <w:rPr>
          <w:rFonts w:hAnsi="宋体"/>
        </w:rPr>
        <w:t>%、N含量为1</w:t>
      </w:r>
      <w:r>
        <w:rPr>
          <w:rFonts w:hint="eastAsia" w:hAnsi="宋体"/>
        </w:rPr>
        <w:t>2</w:t>
      </w:r>
      <w:r>
        <w:rPr>
          <w:rFonts w:hAnsi="宋体"/>
        </w:rPr>
        <w:t>%）的称样量为：1.5</w:t>
      </w:r>
      <w:r>
        <w:rPr>
          <w:rFonts w:hint="eastAsia" w:hAnsi="宋体"/>
        </w:rPr>
        <w:t>00</w:t>
      </w:r>
      <w:r>
        <w:rPr>
          <w:rFonts w:hAnsi="宋体"/>
        </w:rPr>
        <w:t>×1</w:t>
      </w:r>
      <w:r>
        <w:rPr>
          <w:rFonts w:hint="eastAsia" w:hAnsi="宋体"/>
        </w:rPr>
        <w:t>0</w:t>
      </w:r>
      <w:r>
        <w:rPr>
          <w:rFonts w:hAnsi="宋体"/>
        </w:rPr>
        <w:t>%/</w:t>
      </w:r>
      <w:r>
        <w:rPr>
          <w:rFonts w:hint="eastAsia" w:hAnsi="宋体"/>
        </w:rPr>
        <w:t>61</w:t>
      </w:r>
      <w:r>
        <w:rPr>
          <w:rFonts w:hAnsi="宋体"/>
        </w:rPr>
        <w:t>%</w:t>
      </w:r>
      <w:r>
        <w:rPr>
          <w:rFonts w:hint="eastAsia" w:hAnsi="宋体"/>
        </w:rPr>
        <w:t xml:space="preserve"> </w:t>
      </w:r>
      <w:r>
        <w:rPr>
          <w:rFonts w:hAnsi="宋体"/>
        </w:rPr>
        <w:t>=</w:t>
      </w:r>
      <w:r>
        <w:rPr>
          <w:rFonts w:hint="eastAsia" w:hAnsi="宋体"/>
        </w:rPr>
        <w:t xml:space="preserve"> </w:t>
      </w:r>
      <w:r>
        <w:rPr>
          <w:rFonts w:hAnsi="宋体"/>
        </w:rPr>
        <w:t>0.</w:t>
      </w:r>
      <w:r>
        <w:rPr>
          <w:rFonts w:hint="eastAsia" w:hAnsi="宋体"/>
        </w:rPr>
        <w:t>246</w:t>
      </w:r>
      <w:r>
        <w:rPr>
          <w:rFonts w:hAnsi="宋体"/>
        </w:rPr>
        <w:t>g</w:t>
      </w:r>
      <w:r>
        <w:rPr>
          <w:rFonts w:hint="eastAsia" w:hAnsi="宋体"/>
        </w:rPr>
        <w:t xml:space="preserve"> </w:t>
      </w:r>
      <w:r>
        <w:rPr>
          <w:rFonts w:hAnsi="宋体"/>
        </w:rPr>
        <w:t>；</w:t>
      </w:r>
    </w:p>
    <w:p w14:paraId="49527AD7">
      <w:pPr>
        <w:pStyle w:val="109"/>
        <w:numPr>
          <w:ilvl w:val="0"/>
          <w:numId w:val="32"/>
        </w:numPr>
        <w:rPr>
          <w:rFonts w:hAnsi="宋体"/>
        </w:rPr>
      </w:pPr>
      <w:r>
        <w:rPr>
          <w:rFonts w:hAnsi="宋体"/>
        </w:rPr>
        <w:t xml:space="preserve"> 根据5.3.5.3方法测得的硝态氮含量为2.0%，用常用的硝酸铵（分析纯，其硝态氮含量为17.5%，总氮含量为35%）配制，称样量为1.500×2.0%/17.5% = 0.171 g；</w:t>
      </w:r>
    </w:p>
    <w:p w14:paraId="3A03D55C">
      <w:pPr>
        <w:pStyle w:val="109"/>
        <w:numPr>
          <w:ilvl w:val="0"/>
          <w:numId w:val="32"/>
        </w:numPr>
        <w:rPr>
          <w:rFonts w:hAnsi="宋体"/>
        </w:rPr>
      </w:pPr>
      <w:r>
        <w:rPr>
          <w:rFonts w:hAnsi="宋体"/>
        </w:rPr>
        <w:t xml:space="preserve"> 剩余氮用氯化铵补齐，即氯化铵（</w:t>
      </w:r>
      <w:r>
        <w:rPr>
          <w:rFonts w:hint="eastAsia" w:hAnsi="宋体"/>
        </w:rPr>
        <w:t>分析纯，其</w:t>
      </w:r>
      <w:r>
        <w:rPr>
          <w:rFonts w:hAnsi="宋体"/>
        </w:rPr>
        <w:t>N含量为</w:t>
      </w:r>
      <w:r>
        <w:t>26</w:t>
      </w:r>
      <w:r>
        <w:rPr>
          <w:rFonts w:hint="eastAsia"/>
        </w:rPr>
        <w:t>.17</w:t>
      </w:r>
      <w:r>
        <w:rPr>
          <w:rFonts w:hAnsi="宋体"/>
        </w:rPr>
        <w:t>%）的称样量为：（</w:t>
      </w:r>
      <w:r>
        <w:rPr>
          <w:rFonts w:hAnsi="宋体"/>
          <w:color w:val="0000FF"/>
        </w:rPr>
        <w:t>1.5</w:t>
      </w:r>
      <w:r>
        <w:rPr>
          <w:rFonts w:hint="eastAsia" w:hAnsi="宋体"/>
          <w:color w:val="0000FF"/>
        </w:rPr>
        <w:t>00</w:t>
      </w:r>
      <w:r>
        <w:rPr>
          <w:rFonts w:hAnsi="宋体"/>
          <w:color w:val="0000FF"/>
        </w:rPr>
        <w:t>×</w:t>
      </w:r>
      <w:r>
        <w:rPr>
          <w:color w:val="0000FF"/>
        </w:rPr>
        <w:t>26</w:t>
      </w:r>
      <w:r>
        <w:rPr>
          <w:rFonts w:hAnsi="宋体"/>
          <w:color w:val="0000FF"/>
        </w:rPr>
        <w:t>%</w:t>
      </w:r>
      <w:r>
        <w:rPr>
          <w:rFonts w:hint="eastAsia" w:hAnsi="宋体"/>
          <w:color w:val="0000FF"/>
        </w:rPr>
        <w:t>－</w:t>
      </w:r>
      <w:r>
        <w:rPr>
          <w:rFonts w:hAnsi="宋体"/>
          <w:color w:val="0000FF"/>
        </w:rPr>
        <w:t>0.6</w:t>
      </w:r>
      <w:r>
        <w:rPr>
          <w:rFonts w:hint="eastAsia" w:hAnsi="宋体"/>
          <w:color w:val="0000FF"/>
        </w:rPr>
        <w:t>29</w:t>
      </w:r>
      <w:r>
        <w:rPr>
          <w:rFonts w:hAnsi="宋体"/>
          <w:color w:val="0000FF"/>
        </w:rPr>
        <w:t>×46</w:t>
      </w:r>
      <w:r>
        <w:rPr>
          <w:rFonts w:hint="eastAsia" w:hAnsi="宋体"/>
          <w:color w:val="0000FF"/>
        </w:rPr>
        <w:t>.67</w:t>
      </w:r>
      <w:r>
        <w:rPr>
          <w:rFonts w:hAnsi="宋体"/>
          <w:color w:val="0000FF"/>
        </w:rPr>
        <w:t>%</w:t>
      </w:r>
      <w:r>
        <w:rPr>
          <w:rFonts w:hint="eastAsia" w:hAnsi="宋体"/>
          <w:color w:val="0000FF"/>
        </w:rPr>
        <w:t>－</w:t>
      </w:r>
      <w:r>
        <w:rPr>
          <w:rFonts w:hAnsi="宋体"/>
          <w:color w:val="0000FF"/>
        </w:rPr>
        <w:t>0.</w:t>
      </w:r>
      <w:r>
        <w:rPr>
          <w:rFonts w:hint="eastAsia" w:hAnsi="宋体"/>
          <w:color w:val="0000FF"/>
        </w:rPr>
        <w:t>246</w:t>
      </w:r>
      <w:r>
        <w:rPr>
          <w:rFonts w:hAnsi="宋体"/>
          <w:color w:val="0000FF"/>
        </w:rPr>
        <w:t>×1</w:t>
      </w:r>
      <w:r>
        <w:rPr>
          <w:rFonts w:hint="eastAsia" w:hAnsi="宋体"/>
          <w:color w:val="0000FF"/>
        </w:rPr>
        <w:t>2</w:t>
      </w:r>
      <w:r>
        <w:rPr>
          <w:rFonts w:hAnsi="宋体"/>
          <w:color w:val="0000FF"/>
        </w:rPr>
        <w:t>%</w:t>
      </w:r>
      <w:r>
        <w:rPr>
          <w:rFonts w:hint="eastAsia" w:hAnsi="宋体"/>
          <w:color w:val="0000FF"/>
        </w:rPr>
        <w:t>－0.171</w:t>
      </w:r>
      <w:r>
        <w:rPr>
          <w:rFonts w:hAnsi="宋体"/>
          <w:color w:val="0000FF"/>
        </w:rPr>
        <w:t>×</w:t>
      </w:r>
      <w:r>
        <w:rPr>
          <w:rFonts w:hint="eastAsia" w:hAnsi="宋体"/>
          <w:color w:val="0000FF"/>
        </w:rPr>
        <w:t>35%</w:t>
      </w:r>
      <w:r>
        <w:rPr>
          <w:rFonts w:hAnsi="宋体"/>
          <w:color w:val="0000FF"/>
        </w:rPr>
        <w:t>）/26</w:t>
      </w:r>
      <w:r>
        <w:rPr>
          <w:rFonts w:hint="eastAsia" w:hAnsi="宋体"/>
          <w:color w:val="0000FF"/>
        </w:rPr>
        <w:t>.17</w:t>
      </w:r>
      <w:r>
        <w:rPr>
          <w:rFonts w:hAnsi="宋体"/>
          <w:color w:val="0000FF"/>
        </w:rPr>
        <w:t>%</w:t>
      </w:r>
      <w:r>
        <w:rPr>
          <w:rFonts w:hint="eastAsia" w:hAnsi="宋体"/>
          <w:color w:val="0000FF"/>
        </w:rPr>
        <w:t xml:space="preserve"> </w:t>
      </w:r>
      <w:r>
        <w:rPr>
          <w:rFonts w:hAnsi="宋体"/>
          <w:color w:val="0000FF"/>
        </w:rPr>
        <w:t>=</w:t>
      </w:r>
      <w:r>
        <w:rPr>
          <w:rFonts w:hint="eastAsia" w:hAnsi="宋体"/>
          <w:color w:val="0000FF"/>
        </w:rPr>
        <w:t xml:space="preserve"> </w:t>
      </w:r>
      <w:r>
        <w:rPr>
          <w:rFonts w:hAnsi="宋体"/>
          <w:color w:val="0000FF"/>
        </w:rPr>
        <w:t>0.</w:t>
      </w:r>
      <w:r>
        <w:rPr>
          <w:rFonts w:hint="eastAsia" w:hAnsi="宋体"/>
          <w:color w:val="0000FF"/>
        </w:rPr>
        <w:t xml:space="preserve">027 </w:t>
      </w:r>
      <w:r>
        <w:rPr>
          <w:rFonts w:hAnsi="宋体"/>
          <w:color w:val="0000FF"/>
        </w:rPr>
        <w:t>g</w:t>
      </w:r>
      <w:r>
        <w:rPr>
          <w:rFonts w:hint="eastAsia" w:hAnsi="宋体"/>
        </w:rPr>
        <w:t>；</w:t>
      </w:r>
    </w:p>
    <w:p w14:paraId="119E041C">
      <w:pPr>
        <w:pStyle w:val="109"/>
        <w:rPr>
          <w:rFonts w:hAnsi="宋体"/>
        </w:rPr>
      </w:pPr>
      <w:r>
        <w:t>根据试样中K</w:t>
      </w:r>
      <w:r>
        <w:rPr>
          <w:vertAlign w:val="subscript"/>
        </w:rPr>
        <w:t>2</w:t>
      </w:r>
      <w:r>
        <w:t>O的含量11%计算出氯化钾（</w:t>
      </w:r>
      <w:r>
        <w:rPr>
          <w:rFonts w:hint="eastAsia"/>
        </w:rPr>
        <w:t>分析纯，其</w:t>
      </w:r>
      <w:r>
        <w:t>K</w:t>
      </w:r>
      <w:r>
        <w:rPr>
          <w:vertAlign w:val="subscript"/>
        </w:rPr>
        <w:t>2</w:t>
      </w:r>
      <w:r>
        <w:t>O含量为6</w:t>
      </w:r>
      <w:r>
        <w:rPr>
          <w:rFonts w:hint="eastAsia"/>
        </w:rPr>
        <w:t>3.04</w:t>
      </w:r>
      <w:r>
        <w:t>%）的称样量为：1.5</w:t>
      </w:r>
      <w:r>
        <w:rPr>
          <w:rFonts w:hint="eastAsia"/>
        </w:rPr>
        <w:t>00×</w:t>
      </w:r>
      <w:r>
        <w:t>11%/6</w:t>
      </w:r>
      <w:r>
        <w:rPr>
          <w:rFonts w:hint="eastAsia"/>
        </w:rPr>
        <w:t>3.04</w:t>
      </w:r>
      <w:r>
        <w:t>%</w:t>
      </w:r>
      <w:r>
        <w:rPr>
          <w:rFonts w:hint="eastAsia"/>
        </w:rPr>
        <w:t xml:space="preserve"> </w:t>
      </w:r>
      <w:r>
        <w:t>=</w:t>
      </w:r>
      <w:r>
        <w:rPr>
          <w:rFonts w:hint="eastAsia"/>
        </w:rPr>
        <w:t xml:space="preserve"> 0.262 </w:t>
      </w:r>
      <w:r>
        <w:t>g</w:t>
      </w:r>
      <w:r>
        <w:rPr>
          <w:rFonts w:hint="eastAsia"/>
        </w:rPr>
        <w:t>。</w:t>
      </w:r>
    </w:p>
    <w:p w14:paraId="5B3F1A3E">
      <w:pPr>
        <w:pStyle w:val="78"/>
        <w:spacing w:before="156" w:after="156"/>
      </w:pPr>
      <w:bookmarkStart w:id="106" w:name="_Toc231994807"/>
      <w:bookmarkStart w:id="107" w:name="_Toc231994853"/>
      <w:r>
        <w:rPr>
          <w:rFonts w:hint="eastAsia"/>
        </w:rPr>
        <w:t>硝化潜势差异率指标</w:t>
      </w:r>
      <w:r>
        <w:t>对照</w:t>
      </w:r>
      <w:r>
        <w:rPr>
          <w:rFonts w:hint="eastAsia"/>
        </w:rPr>
        <w:t>样品</w:t>
      </w:r>
      <w:r>
        <w:t>称取方法示例</w:t>
      </w:r>
      <w:r>
        <w:rPr>
          <w:rFonts w:hint="eastAsia"/>
        </w:rPr>
        <w:t>1</w:t>
      </w:r>
      <w:bookmarkEnd w:id="106"/>
      <w:bookmarkEnd w:id="107"/>
    </w:p>
    <w:p w14:paraId="6E10235D">
      <w:pPr>
        <w:pStyle w:val="56"/>
        <w:ind w:firstLine="420"/>
      </w:pPr>
      <w:r>
        <w:t>以配方为26-11-11的</w:t>
      </w:r>
      <w:r>
        <w:rPr>
          <w:rFonts w:hint="eastAsia"/>
        </w:rPr>
        <w:t>稳定性复合</w:t>
      </w:r>
      <w:r>
        <w:t>肥料</w:t>
      </w:r>
      <w:r>
        <w:rPr>
          <w:rFonts w:hint="eastAsia"/>
        </w:rPr>
        <w:t>（不含硝态氮）</w:t>
      </w:r>
      <w:r>
        <w:t>为例</w:t>
      </w:r>
      <w:r>
        <w:rPr>
          <w:rFonts w:hint="eastAsia"/>
        </w:rPr>
        <w:t>：</w:t>
      </w:r>
    </w:p>
    <w:p w14:paraId="17C3B245">
      <w:pPr>
        <w:pStyle w:val="109"/>
        <w:numPr>
          <w:ilvl w:val="0"/>
          <w:numId w:val="33"/>
        </w:numPr>
        <w:ind w:left="1276"/>
      </w:pPr>
      <w:r>
        <w:t>根据</w:t>
      </w:r>
      <w:r>
        <w:rPr>
          <w:rFonts w:hint="eastAsia"/>
        </w:rPr>
        <w:t>5.3.5.1</w:t>
      </w:r>
      <w:r>
        <w:t>方法测得试样中的</w:t>
      </w:r>
      <w:r>
        <w:rPr>
          <w:rFonts w:hint="eastAsia"/>
        </w:rPr>
        <w:t>总氮</w:t>
      </w:r>
      <w:r>
        <w:t>含量为</w:t>
      </w:r>
      <w:r>
        <w:rPr>
          <w:rFonts w:hint="eastAsia"/>
        </w:rPr>
        <w:t>26.49</w:t>
      </w:r>
      <w:r>
        <w:t>%，</w:t>
      </w:r>
      <w:r>
        <w:rPr>
          <w:rFonts w:hint="eastAsia"/>
        </w:rPr>
        <w:t>根据总氮含量计算出含1.4 g 氮的肥料样品质量 = 1.4/26.49</w:t>
      </w:r>
      <w:r>
        <w:t>%</w:t>
      </w:r>
      <w:r>
        <w:rPr>
          <w:rFonts w:hint="eastAsia"/>
        </w:rPr>
        <w:t xml:space="preserve"> = </w:t>
      </w:r>
      <w:r>
        <w:rPr>
          <w:rFonts w:hint="eastAsia"/>
          <w:b/>
          <w:bCs/>
        </w:rPr>
        <w:t>5.28</w:t>
      </w:r>
      <w:r>
        <w:rPr>
          <w:rFonts w:hint="eastAsia"/>
        </w:rPr>
        <w:t xml:space="preserve"> g，用来配制肥料样品的</w:t>
      </w:r>
      <w:r>
        <w:rPr>
          <w:rFonts w:hint="eastAsia"/>
          <w:szCs w:val="21"/>
        </w:rPr>
        <w:t>含1.4 g N/L的肥料工作溶液。</w:t>
      </w:r>
    </w:p>
    <w:p w14:paraId="5E84A721">
      <w:pPr>
        <w:pStyle w:val="109"/>
        <w:numPr>
          <w:ilvl w:val="0"/>
          <w:numId w:val="33"/>
        </w:numPr>
        <w:ind w:left="1276"/>
      </w:pPr>
      <w:r>
        <w:rPr>
          <w:rFonts w:hint="eastAsia"/>
        </w:rPr>
        <w:t>根据5.3.5.2方法测得试样中的尿素含量为48.23%，</w:t>
      </w:r>
      <w:r>
        <w:t>即</w:t>
      </w:r>
      <w:r>
        <w:rPr>
          <w:rFonts w:hint="eastAsia"/>
        </w:rPr>
        <w:t>对照中</w:t>
      </w:r>
      <w:r>
        <w:t>尿素</w:t>
      </w:r>
      <w:r>
        <w:rPr>
          <w:rFonts w:hint="eastAsia"/>
        </w:rPr>
        <w:t>（分析纯，其氮含量为46.67%）</w:t>
      </w:r>
      <w:r>
        <w:t>的称样量</w:t>
      </w:r>
      <w:r>
        <w:rPr>
          <w:rFonts w:hint="eastAsia"/>
        </w:rPr>
        <w:t xml:space="preserve"> = </w:t>
      </w:r>
      <w:r>
        <w:rPr>
          <w:rFonts w:hint="eastAsia"/>
          <w:b/>
          <w:bCs/>
        </w:rPr>
        <w:t>5.28</w:t>
      </w:r>
      <w:r>
        <w:rPr>
          <w:rFonts w:hint="eastAsia"/>
        </w:rPr>
        <w:t>×48.23% = 2.55 g。</w:t>
      </w:r>
    </w:p>
    <w:p w14:paraId="7E482F3D">
      <w:pPr>
        <w:pStyle w:val="109"/>
        <w:numPr>
          <w:ilvl w:val="0"/>
          <w:numId w:val="33"/>
        </w:numPr>
        <w:ind w:left="1276"/>
      </w:pPr>
      <w:r>
        <w:t>根据试样中P</w:t>
      </w:r>
      <w:r>
        <w:rPr>
          <w:vertAlign w:val="subscript"/>
        </w:rPr>
        <w:t>2</w:t>
      </w:r>
      <w:r>
        <w:t>O</w:t>
      </w:r>
      <w:r>
        <w:rPr>
          <w:vertAlign w:val="subscript"/>
        </w:rPr>
        <w:t>5</w:t>
      </w:r>
      <w:r>
        <w:t>的含量11%计算出</w:t>
      </w:r>
      <w:r>
        <w:rPr>
          <w:rFonts w:hint="eastAsia"/>
        </w:rPr>
        <w:t>对照中一水过磷酸钙（分析纯，其</w:t>
      </w:r>
      <w:r>
        <w:t>P</w:t>
      </w:r>
      <w:r>
        <w:rPr>
          <w:vertAlign w:val="subscript"/>
        </w:rPr>
        <w:t>2</w:t>
      </w:r>
      <w:r>
        <w:t>O</w:t>
      </w:r>
      <w:r>
        <w:rPr>
          <w:vertAlign w:val="subscript"/>
        </w:rPr>
        <w:t>5</w:t>
      </w:r>
      <w:r>
        <w:t>含量为</w:t>
      </w:r>
      <w:r>
        <w:rPr>
          <w:rFonts w:hint="eastAsia"/>
        </w:rPr>
        <w:t>56.35</w:t>
      </w:r>
      <w:r>
        <w:t>%</w:t>
      </w:r>
      <w:r>
        <w:rPr>
          <w:rFonts w:hint="eastAsia"/>
        </w:rPr>
        <w:t>）</w:t>
      </w:r>
      <w:r>
        <w:t>的称样量为：</w:t>
      </w:r>
      <w:r>
        <w:rPr>
          <w:rFonts w:hint="eastAsia"/>
          <w:b/>
          <w:bCs/>
        </w:rPr>
        <w:t>5.28</w:t>
      </w:r>
      <w:r>
        <w:rPr>
          <w:rFonts w:hint="eastAsia"/>
        </w:rPr>
        <w:t>×</w:t>
      </w:r>
      <w:r>
        <w:t>11%/</w:t>
      </w:r>
      <w:r>
        <w:rPr>
          <w:rFonts w:hint="eastAsia"/>
        </w:rPr>
        <w:t>56.35</w:t>
      </w:r>
      <w:r>
        <w:t>%</w:t>
      </w:r>
      <w:r>
        <w:rPr>
          <w:rFonts w:hint="eastAsia"/>
        </w:rPr>
        <w:t xml:space="preserve">  </w:t>
      </w:r>
      <w:r>
        <w:t>=</w:t>
      </w:r>
      <w:r>
        <w:rPr>
          <w:rFonts w:hint="eastAsia"/>
        </w:rPr>
        <w:t xml:space="preserve"> 1.03 </w:t>
      </w:r>
      <w:r>
        <w:t>g；</w:t>
      </w:r>
    </w:p>
    <w:p w14:paraId="64C5927B">
      <w:pPr>
        <w:pStyle w:val="109"/>
        <w:numPr>
          <w:ilvl w:val="0"/>
          <w:numId w:val="33"/>
        </w:numPr>
        <w:ind w:left="1276"/>
      </w:pPr>
      <w:r>
        <w:t>剩余氮用氯化铵补齐，即</w:t>
      </w:r>
      <w:r>
        <w:rPr>
          <w:rFonts w:hint="eastAsia"/>
        </w:rPr>
        <w:t>对照中</w:t>
      </w:r>
      <w:r>
        <w:t>氯化铵（</w:t>
      </w:r>
      <w:r>
        <w:rPr>
          <w:rFonts w:hint="eastAsia"/>
        </w:rPr>
        <w:t>分析纯，其氮</w:t>
      </w:r>
      <w:r>
        <w:t>含量为26</w:t>
      </w:r>
      <w:r>
        <w:rPr>
          <w:rFonts w:hint="eastAsia"/>
        </w:rPr>
        <w:t>.17</w:t>
      </w:r>
      <w:r>
        <w:t>%）的称样量为：（</w:t>
      </w:r>
      <w:r>
        <w:rPr>
          <w:rFonts w:hint="eastAsia"/>
        </w:rPr>
        <w:t>1.4－2.55×</w:t>
      </w:r>
      <w:r>
        <w:t>46</w:t>
      </w:r>
      <w:r>
        <w:rPr>
          <w:rFonts w:hint="eastAsia"/>
        </w:rPr>
        <w:t>.67</w:t>
      </w:r>
      <w:r>
        <w:t>%）/26</w:t>
      </w:r>
      <w:r>
        <w:rPr>
          <w:rFonts w:hint="eastAsia"/>
        </w:rPr>
        <w:t>.17</w:t>
      </w:r>
      <w:r>
        <w:t>%</w:t>
      </w:r>
      <w:r>
        <w:rPr>
          <w:rFonts w:hint="eastAsia"/>
        </w:rPr>
        <w:t xml:space="preserve"> </w:t>
      </w:r>
      <w:r>
        <w:t>=</w:t>
      </w:r>
      <w:r>
        <w:rPr>
          <w:rFonts w:hint="eastAsia"/>
        </w:rPr>
        <w:t xml:space="preserve"> </w:t>
      </w:r>
      <w:r>
        <w:t>0.</w:t>
      </w:r>
      <w:r>
        <w:rPr>
          <w:rFonts w:hint="eastAsia"/>
        </w:rPr>
        <w:t xml:space="preserve">80 </w:t>
      </w:r>
      <w:r>
        <w:t>g</w:t>
      </w:r>
      <w:r>
        <w:rPr>
          <w:rFonts w:hint="eastAsia"/>
        </w:rPr>
        <w:t>；</w:t>
      </w:r>
    </w:p>
    <w:p w14:paraId="5140A939">
      <w:pPr>
        <w:pStyle w:val="109"/>
        <w:numPr>
          <w:ilvl w:val="0"/>
          <w:numId w:val="33"/>
        </w:numPr>
        <w:ind w:left="1276"/>
      </w:pPr>
      <w:r>
        <w:t>根据试样中K</w:t>
      </w:r>
      <w:r>
        <w:rPr>
          <w:vertAlign w:val="subscript"/>
        </w:rPr>
        <w:t>2</w:t>
      </w:r>
      <w:r>
        <w:t>O的含量11%计算出</w:t>
      </w:r>
      <w:r>
        <w:rPr>
          <w:rFonts w:hint="eastAsia"/>
        </w:rPr>
        <w:t>对照中</w:t>
      </w:r>
      <w:r>
        <w:t>氯化钾（</w:t>
      </w:r>
      <w:r>
        <w:rPr>
          <w:rFonts w:hint="eastAsia"/>
        </w:rPr>
        <w:t>分析纯，其</w:t>
      </w:r>
      <w:r>
        <w:t>K</w:t>
      </w:r>
      <w:r>
        <w:rPr>
          <w:vertAlign w:val="subscript"/>
        </w:rPr>
        <w:t>2</w:t>
      </w:r>
      <w:r>
        <w:t>O含量为6</w:t>
      </w:r>
      <w:r>
        <w:rPr>
          <w:rFonts w:hint="eastAsia"/>
        </w:rPr>
        <w:t>3.04</w:t>
      </w:r>
      <w:r>
        <w:t>%）的称样量为：</w:t>
      </w:r>
      <w:r>
        <w:rPr>
          <w:rFonts w:hint="eastAsia"/>
          <w:b/>
          <w:bCs/>
        </w:rPr>
        <w:t>5.28</w:t>
      </w:r>
      <w:r>
        <w:rPr>
          <w:rFonts w:hint="eastAsia"/>
        </w:rPr>
        <w:t>×</w:t>
      </w:r>
      <w:r>
        <w:t>11%/6</w:t>
      </w:r>
      <w:r>
        <w:rPr>
          <w:rFonts w:hint="eastAsia"/>
        </w:rPr>
        <w:t>3.04</w:t>
      </w:r>
      <w:r>
        <w:t>%</w:t>
      </w:r>
      <w:r>
        <w:rPr>
          <w:rFonts w:hint="eastAsia"/>
        </w:rPr>
        <w:t xml:space="preserve"> </w:t>
      </w:r>
      <w:r>
        <w:t>=</w:t>
      </w:r>
      <w:r>
        <w:rPr>
          <w:rFonts w:hint="eastAsia"/>
        </w:rPr>
        <w:t xml:space="preserve"> </w:t>
      </w:r>
      <w:r>
        <w:t>0.</w:t>
      </w:r>
      <w:r>
        <w:rPr>
          <w:rFonts w:hint="eastAsia"/>
        </w:rPr>
        <w:t xml:space="preserve">92 </w:t>
      </w:r>
      <w:r>
        <w:t>g</w:t>
      </w:r>
      <w:r>
        <w:rPr>
          <w:rFonts w:hint="eastAsia"/>
        </w:rPr>
        <w:t>。</w:t>
      </w:r>
    </w:p>
    <w:p w14:paraId="7474D084">
      <w:pPr>
        <w:pStyle w:val="78"/>
        <w:spacing w:before="156" w:after="156"/>
      </w:pPr>
      <w:bookmarkStart w:id="108" w:name="_Toc231994854"/>
      <w:bookmarkStart w:id="109" w:name="_Toc231994808"/>
      <w:r>
        <w:rPr>
          <w:rFonts w:hint="eastAsia"/>
        </w:rPr>
        <w:t>硝化潜势差异率指标</w:t>
      </w:r>
      <w:r>
        <w:t>对照</w:t>
      </w:r>
      <w:r>
        <w:rPr>
          <w:rFonts w:hint="eastAsia"/>
        </w:rPr>
        <w:t>样品</w:t>
      </w:r>
      <w:r>
        <w:t>称取方法示例</w:t>
      </w:r>
      <w:r>
        <w:rPr>
          <w:rFonts w:hint="eastAsia"/>
        </w:rPr>
        <w:t>2</w:t>
      </w:r>
      <w:bookmarkEnd w:id="108"/>
      <w:bookmarkEnd w:id="109"/>
    </w:p>
    <w:p w14:paraId="34ECB2B3">
      <w:pPr>
        <w:pStyle w:val="56"/>
        <w:ind w:firstLine="420"/>
      </w:pPr>
      <w:r>
        <w:t>以配方为26-1</w:t>
      </w:r>
      <w:r>
        <w:rPr>
          <w:rFonts w:hint="eastAsia"/>
        </w:rPr>
        <w:t>1</w:t>
      </w:r>
      <w:r>
        <w:t>-1</w:t>
      </w:r>
      <w:r>
        <w:rPr>
          <w:rFonts w:hint="eastAsia"/>
        </w:rPr>
        <w:t>1</w:t>
      </w:r>
      <w:r>
        <w:t>的</w:t>
      </w:r>
      <w:r>
        <w:rPr>
          <w:rFonts w:hint="eastAsia"/>
        </w:rPr>
        <w:t>稳定性复合</w:t>
      </w:r>
      <w:r>
        <w:t>肥料</w:t>
      </w:r>
      <w:r>
        <w:rPr>
          <w:rFonts w:hint="eastAsia"/>
        </w:rPr>
        <w:t>（含硝态氮）</w:t>
      </w:r>
      <w:r>
        <w:t>为例</w:t>
      </w:r>
      <w:r>
        <w:rPr>
          <w:rFonts w:hint="eastAsia"/>
        </w:rPr>
        <w:t>：</w:t>
      </w:r>
    </w:p>
    <w:p w14:paraId="1E99D922">
      <w:pPr>
        <w:pStyle w:val="109"/>
        <w:numPr>
          <w:ilvl w:val="0"/>
          <w:numId w:val="34"/>
        </w:numPr>
        <w:tabs>
          <w:tab w:val="clear" w:pos="1276"/>
        </w:tabs>
        <w:ind w:left="1276"/>
      </w:pPr>
      <w:r>
        <w:t>根据</w:t>
      </w:r>
      <w:r>
        <w:rPr>
          <w:rFonts w:hint="eastAsia"/>
        </w:rPr>
        <w:t>5.3.5.1</w:t>
      </w:r>
      <w:r>
        <w:t>方法测得试样中的</w:t>
      </w:r>
      <w:r>
        <w:rPr>
          <w:rFonts w:hint="eastAsia"/>
        </w:rPr>
        <w:t>总氮</w:t>
      </w:r>
      <w:r>
        <w:t>含量为</w:t>
      </w:r>
      <w:r>
        <w:rPr>
          <w:rFonts w:hint="eastAsia"/>
        </w:rPr>
        <w:t>26.49</w:t>
      </w:r>
      <w:r>
        <w:t>%，</w:t>
      </w:r>
      <w:r>
        <w:rPr>
          <w:rFonts w:hint="eastAsia"/>
        </w:rPr>
        <w:t>根据总氮含量计算出含1.4 g 氮的肥料样品质量 = 1.4/26.49</w:t>
      </w:r>
      <w:r>
        <w:t>%</w:t>
      </w:r>
      <w:r>
        <w:rPr>
          <w:rFonts w:hint="eastAsia"/>
        </w:rPr>
        <w:t xml:space="preserve"> = </w:t>
      </w:r>
      <w:r>
        <w:rPr>
          <w:rFonts w:hint="eastAsia"/>
          <w:b/>
          <w:bCs/>
        </w:rPr>
        <w:t>5.28</w:t>
      </w:r>
      <w:r>
        <w:rPr>
          <w:rFonts w:hint="eastAsia"/>
        </w:rPr>
        <w:t xml:space="preserve"> g，用来配制肥料样品的</w:t>
      </w:r>
      <w:r>
        <w:rPr>
          <w:rFonts w:hint="eastAsia"/>
          <w:szCs w:val="21"/>
        </w:rPr>
        <w:t>含1.4 g N/L的肥料工作溶液。</w:t>
      </w:r>
    </w:p>
    <w:p w14:paraId="19F751E0">
      <w:pPr>
        <w:pStyle w:val="109"/>
        <w:numPr>
          <w:ilvl w:val="0"/>
          <w:numId w:val="34"/>
        </w:numPr>
        <w:tabs>
          <w:tab w:val="clear" w:pos="1276"/>
        </w:tabs>
        <w:ind w:left="1276"/>
      </w:pPr>
      <w:r>
        <w:rPr>
          <w:rFonts w:hint="eastAsia"/>
        </w:rPr>
        <w:t>根据5.3.5.2方法测得试样中的尿素氮含量为22.51%，</w:t>
      </w:r>
      <w:r>
        <w:t>即</w:t>
      </w:r>
      <w:r>
        <w:rPr>
          <w:rFonts w:hint="eastAsia"/>
        </w:rPr>
        <w:t>对照中</w:t>
      </w:r>
      <w:r>
        <w:t>尿素</w:t>
      </w:r>
      <w:r>
        <w:rPr>
          <w:rFonts w:hint="eastAsia"/>
        </w:rPr>
        <w:t>（分析纯，其氮含量为46.67%）</w:t>
      </w:r>
      <w:r>
        <w:t>的称样量</w:t>
      </w:r>
      <w:r>
        <w:rPr>
          <w:rFonts w:hint="eastAsia"/>
        </w:rPr>
        <w:t xml:space="preserve"> = </w:t>
      </w:r>
      <w:r>
        <w:rPr>
          <w:rFonts w:hint="eastAsia"/>
          <w:b/>
          <w:bCs/>
        </w:rPr>
        <w:t>5.28</w:t>
      </w:r>
      <w:r>
        <w:rPr>
          <w:rFonts w:hint="eastAsia"/>
        </w:rPr>
        <w:t>×22.51%/46.67% = 2.55 g。</w:t>
      </w:r>
    </w:p>
    <w:p w14:paraId="634F3E35">
      <w:pPr>
        <w:pStyle w:val="109"/>
        <w:numPr>
          <w:ilvl w:val="0"/>
          <w:numId w:val="34"/>
        </w:numPr>
        <w:tabs>
          <w:tab w:val="clear" w:pos="1276"/>
        </w:tabs>
        <w:ind w:left="1276"/>
      </w:pPr>
      <w:r>
        <w:t>根据试样中P</w:t>
      </w:r>
      <w:r>
        <w:rPr>
          <w:vertAlign w:val="subscript"/>
        </w:rPr>
        <w:t>2</w:t>
      </w:r>
      <w:r>
        <w:t>O</w:t>
      </w:r>
      <w:r>
        <w:rPr>
          <w:vertAlign w:val="subscript"/>
        </w:rPr>
        <w:t>5</w:t>
      </w:r>
      <w:r>
        <w:t>的含量11%计算出</w:t>
      </w:r>
      <w:r>
        <w:rPr>
          <w:rFonts w:hint="eastAsia"/>
        </w:rPr>
        <w:t>对照中一水过磷酸钙（分析纯，其</w:t>
      </w:r>
      <w:r>
        <w:t>P</w:t>
      </w:r>
      <w:r>
        <w:rPr>
          <w:vertAlign w:val="subscript"/>
        </w:rPr>
        <w:t>2</w:t>
      </w:r>
      <w:r>
        <w:t>O</w:t>
      </w:r>
      <w:r>
        <w:rPr>
          <w:vertAlign w:val="subscript"/>
        </w:rPr>
        <w:t>5</w:t>
      </w:r>
      <w:r>
        <w:t>含量为</w:t>
      </w:r>
      <w:r>
        <w:rPr>
          <w:rFonts w:hint="eastAsia"/>
        </w:rPr>
        <w:t>56.35</w:t>
      </w:r>
      <w:r>
        <w:t>%</w:t>
      </w:r>
      <w:r>
        <w:rPr>
          <w:rFonts w:hint="eastAsia"/>
        </w:rPr>
        <w:t>）</w:t>
      </w:r>
      <w:r>
        <w:t>的称样量为：</w:t>
      </w:r>
      <w:r>
        <w:rPr>
          <w:rFonts w:hint="eastAsia"/>
          <w:b/>
          <w:bCs/>
        </w:rPr>
        <w:t>5.28</w:t>
      </w:r>
      <w:r>
        <w:rPr>
          <w:rFonts w:hint="eastAsia"/>
        </w:rPr>
        <w:t>×</w:t>
      </w:r>
      <w:r>
        <w:t>11%/</w:t>
      </w:r>
      <w:r>
        <w:rPr>
          <w:rFonts w:hint="eastAsia"/>
        </w:rPr>
        <w:t>56.35</w:t>
      </w:r>
      <w:r>
        <w:t>%</w:t>
      </w:r>
      <w:r>
        <w:rPr>
          <w:rFonts w:hint="eastAsia"/>
        </w:rPr>
        <w:t xml:space="preserve"> </w:t>
      </w:r>
      <w:r>
        <w:t>=</w:t>
      </w:r>
      <w:r>
        <w:rPr>
          <w:rFonts w:hint="eastAsia"/>
        </w:rPr>
        <w:t xml:space="preserve"> 1.03 </w:t>
      </w:r>
      <w:r>
        <w:t>g；</w:t>
      </w:r>
    </w:p>
    <w:p w14:paraId="54AC96C9">
      <w:pPr>
        <w:pStyle w:val="109"/>
        <w:numPr>
          <w:ilvl w:val="0"/>
          <w:numId w:val="34"/>
        </w:numPr>
        <w:tabs>
          <w:tab w:val="clear" w:pos="1276"/>
        </w:tabs>
        <w:ind w:left="1276"/>
      </w:pPr>
      <w:r>
        <w:rPr>
          <w:rFonts w:hint="eastAsia" w:hAnsi="宋体"/>
        </w:rPr>
        <w:t>根据5.3.5.3方法测得的硝态氮含量为2.0%，用常用的硝酸钠</w:t>
      </w:r>
      <w:r>
        <w:rPr>
          <w:rFonts w:hAnsi="宋体"/>
        </w:rPr>
        <w:t>（</w:t>
      </w:r>
      <w:r>
        <w:rPr>
          <w:rFonts w:hint="eastAsia" w:hAnsi="宋体"/>
        </w:rPr>
        <w:t>分析纯，其氮</w:t>
      </w:r>
      <w:r>
        <w:rPr>
          <w:rFonts w:hAnsi="宋体"/>
        </w:rPr>
        <w:t>含量为</w:t>
      </w:r>
      <w:r>
        <w:rPr>
          <w:rFonts w:hint="eastAsia" w:hAnsi="宋体"/>
        </w:rPr>
        <w:t>16.47</w:t>
      </w:r>
      <w:r>
        <w:rPr>
          <w:rFonts w:hAnsi="宋体"/>
        </w:rPr>
        <w:t>%）</w:t>
      </w:r>
      <w:r>
        <w:rPr>
          <w:rFonts w:hint="eastAsia" w:hAnsi="宋体"/>
        </w:rPr>
        <w:t>配制，称样量为</w:t>
      </w:r>
      <w:r>
        <w:rPr>
          <w:rFonts w:hint="eastAsia" w:hAnsi="宋体"/>
          <w:b/>
          <w:bCs/>
        </w:rPr>
        <w:t>5.28</w:t>
      </w:r>
      <w:r>
        <w:rPr>
          <w:rFonts w:hAnsi="宋体"/>
        </w:rPr>
        <w:t>×</w:t>
      </w:r>
      <w:r>
        <w:rPr>
          <w:rFonts w:hint="eastAsia" w:hAnsi="宋体"/>
        </w:rPr>
        <w:t>2.0%/16.47% = 0.64 g；</w:t>
      </w:r>
    </w:p>
    <w:p w14:paraId="7AD05A8D">
      <w:pPr>
        <w:pStyle w:val="109"/>
        <w:numPr>
          <w:ilvl w:val="0"/>
          <w:numId w:val="34"/>
        </w:numPr>
        <w:tabs>
          <w:tab w:val="clear" w:pos="1276"/>
        </w:tabs>
        <w:ind w:left="1276"/>
      </w:pPr>
      <w:r>
        <w:t>剩余氮用氯化铵补齐，即</w:t>
      </w:r>
      <w:r>
        <w:rPr>
          <w:rFonts w:hint="eastAsia"/>
        </w:rPr>
        <w:t>对照中</w:t>
      </w:r>
      <w:r>
        <w:t>氯化铵（</w:t>
      </w:r>
      <w:r>
        <w:rPr>
          <w:rFonts w:hint="eastAsia"/>
        </w:rPr>
        <w:t>分析纯，其氮</w:t>
      </w:r>
      <w:r>
        <w:t>含量为26</w:t>
      </w:r>
      <w:r>
        <w:rPr>
          <w:rFonts w:hint="eastAsia"/>
        </w:rPr>
        <w:t>.17</w:t>
      </w:r>
      <w:r>
        <w:t>%）的称样量为：（</w:t>
      </w:r>
      <w:r>
        <w:rPr>
          <w:rFonts w:hint="eastAsia"/>
        </w:rPr>
        <w:t>1.4－</w:t>
      </w:r>
      <w:r>
        <w:rPr>
          <w:rFonts w:hint="eastAsia"/>
          <w:b/>
          <w:bCs/>
        </w:rPr>
        <w:t>5.28</w:t>
      </w:r>
      <w:r>
        <w:rPr>
          <w:rFonts w:hint="eastAsia"/>
        </w:rPr>
        <w:t>×22.51%-</w:t>
      </w:r>
      <w:r>
        <w:rPr>
          <w:rFonts w:hint="eastAsia" w:hAnsi="宋体"/>
          <w:b/>
          <w:bCs/>
        </w:rPr>
        <w:t>5.28</w:t>
      </w:r>
      <w:r>
        <w:rPr>
          <w:rFonts w:hAnsi="宋体"/>
        </w:rPr>
        <w:t>×</w:t>
      </w:r>
      <w:r>
        <w:rPr>
          <w:rFonts w:hint="eastAsia" w:hAnsi="宋体"/>
        </w:rPr>
        <w:t>2.0%</w:t>
      </w:r>
      <w:r>
        <w:t>）/26</w:t>
      </w:r>
      <w:r>
        <w:rPr>
          <w:rFonts w:hint="eastAsia"/>
        </w:rPr>
        <w:t>.17</w:t>
      </w:r>
      <w:r>
        <w:t>%</w:t>
      </w:r>
      <w:r>
        <w:rPr>
          <w:rFonts w:hint="eastAsia"/>
        </w:rPr>
        <w:t xml:space="preserve"> </w:t>
      </w:r>
      <w:r>
        <w:t>=</w:t>
      </w:r>
      <w:r>
        <w:rPr>
          <w:rFonts w:hint="eastAsia"/>
        </w:rPr>
        <w:t xml:space="preserve"> </w:t>
      </w:r>
      <w:r>
        <w:t>0.</w:t>
      </w:r>
      <w:r>
        <w:rPr>
          <w:rFonts w:hint="eastAsia"/>
        </w:rPr>
        <w:t xml:space="preserve">40 </w:t>
      </w:r>
      <w:r>
        <w:t>g</w:t>
      </w:r>
      <w:r>
        <w:rPr>
          <w:rFonts w:hint="eastAsia"/>
        </w:rPr>
        <w:t>；</w:t>
      </w:r>
    </w:p>
    <w:p w14:paraId="6779391E">
      <w:pPr>
        <w:pStyle w:val="109"/>
        <w:numPr>
          <w:ilvl w:val="0"/>
          <w:numId w:val="34"/>
        </w:numPr>
        <w:tabs>
          <w:tab w:val="clear" w:pos="1276"/>
        </w:tabs>
        <w:ind w:left="1276"/>
      </w:pPr>
      <w:r>
        <w:t>根据试样中K</w:t>
      </w:r>
      <w:r>
        <w:rPr>
          <w:vertAlign w:val="subscript"/>
        </w:rPr>
        <w:t>2</w:t>
      </w:r>
      <w:r>
        <w:t>O的含量11%计算出</w:t>
      </w:r>
      <w:r>
        <w:rPr>
          <w:rFonts w:hint="eastAsia"/>
        </w:rPr>
        <w:t>对照中</w:t>
      </w:r>
      <w:r>
        <w:t>氯化钾（</w:t>
      </w:r>
      <w:r>
        <w:rPr>
          <w:rFonts w:hint="eastAsia"/>
        </w:rPr>
        <w:t>分析纯，其</w:t>
      </w:r>
      <w:r>
        <w:t>K</w:t>
      </w:r>
      <w:r>
        <w:rPr>
          <w:vertAlign w:val="subscript"/>
        </w:rPr>
        <w:t>2</w:t>
      </w:r>
      <w:r>
        <w:t>O含量为6</w:t>
      </w:r>
      <w:r>
        <w:rPr>
          <w:rFonts w:hint="eastAsia"/>
        </w:rPr>
        <w:t>3.04</w:t>
      </w:r>
      <w:r>
        <w:t>%）的称样量为：</w:t>
      </w:r>
      <w:r>
        <w:rPr>
          <w:rFonts w:hint="eastAsia"/>
          <w:b/>
          <w:bCs/>
        </w:rPr>
        <w:t>5.28</w:t>
      </w:r>
      <w:r>
        <w:rPr>
          <w:rFonts w:hint="eastAsia"/>
        </w:rPr>
        <w:t>×</w:t>
      </w:r>
      <w:r>
        <w:t>11%/6</w:t>
      </w:r>
      <w:r>
        <w:rPr>
          <w:rFonts w:hint="eastAsia"/>
        </w:rPr>
        <w:t>3.04</w:t>
      </w:r>
      <w:r>
        <w:t>%</w:t>
      </w:r>
      <w:r>
        <w:rPr>
          <w:rFonts w:hint="eastAsia"/>
        </w:rPr>
        <w:t xml:space="preserve"> </w:t>
      </w:r>
      <w:r>
        <w:t>=</w:t>
      </w:r>
      <w:r>
        <w:rPr>
          <w:rFonts w:hint="eastAsia"/>
        </w:rPr>
        <w:t xml:space="preserve"> </w:t>
      </w:r>
      <w:r>
        <w:t>0.</w:t>
      </w:r>
      <w:r>
        <w:rPr>
          <w:rFonts w:hint="eastAsia"/>
        </w:rPr>
        <w:t xml:space="preserve">92 </w:t>
      </w:r>
      <w:r>
        <w:t>g</w:t>
      </w:r>
      <w:r>
        <w:rPr>
          <w:rFonts w:hint="eastAsia"/>
        </w:rPr>
        <w:t>。</w:t>
      </w:r>
    </w:p>
    <w:p w14:paraId="4FA4F21B">
      <w:pPr>
        <w:pStyle w:val="56"/>
        <w:ind w:firstLine="400"/>
        <w:rPr>
          <w:color w:val="1552D1"/>
          <w:sz w:val="20"/>
          <w:szCs w:val="18"/>
        </w:rPr>
      </w:pPr>
      <w:r>
        <w:rPr>
          <w:rFonts w:hint="eastAsia"/>
          <w:color w:val="1552D1"/>
          <w:sz w:val="20"/>
          <w:szCs w:val="18"/>
        </w:rPr>
        <w:t>注：硝化潜势差异率项目中试样对照样品配制中使用磷肥均统一采用过磷酸钙。因为本文件硝化潜势差异率项目测试方法制定过程中出现</w:t>
      </w:r>
      <w:r>
        <w:rPr>
          <w:rFonts w:hint="eastAsia" w:ascii="宋体" w:hAnsi="宋体" w:cs="宋体"/>
          <w:color w:val="1552D1"/>
          <w:sz w:val="20"/>
        </w:rPr>
        <w:t>用磷酸一铵作磷源时，部分试样的对照出现一铵氮和尿素氮之和超过总氮的情况，导致对照尿素氮出现负值，因此统一采用过磷酸钙作磷源。</w:t>
      </w:r>
    </w:p>
    <w:p w14:paraId="1640660C">
      <w:pPr>
        <w:pStyle w:val="56"/>
        <w:ind w:firstLine="420"/>
      </w:pPr>
    </w:p>
    <w:p w14:paraId="72F283BC">
      <w:pPr>
        <w:pStyle w:val="56"/>
        <w:ind w:firstLine="420"/>
      </w:pPr>
    </w:p>
    <w:p w14:paraId="3B5077E6">
      <w:pPr>
        <w:pStyle w:val="56"/>
        <w:ind w:firstLine="420"/>
        <w:sectPr>
          <w:pgSz w:w="11906" w:h="16838"/>
          <w:pgMar w:top="1928" w:right="1134" w:bottom="1134" w:left="1134" w:header="1418" w:footer="1134" w:gutter="284"/>
          <w:cols w:space="425" w:num="1"/>
          <w:formProt w:val="0"/>
          <w:docGrid w:type="lines" w:linePitch="312" w:charSpace="0"/>
        </w:sectPr>
      </w:pPr>
    </w:p>
    <w:p w14:paraId="17BCA47A">
      <w:pPr>
        <w:pStyle w:val="198"/>
        <w:rPr>
          <w:vanish w:val="0"/>
        </w:rPr>
      </w:pPr>
    </w:p>
    <w:p w14:paraId="492123FA">
      <w:pPr>
        <w:pStyle w:val="199"/>
        <w:rPr>
          <w:vanish w:val="0"/>
        </w:rPr>
      </w:pPr>
    </w:p>
    <w:p w14:paraId="38F2A3F4">
      <w:pPr>
        <w:pStyle w:val="76"/>
        <w:spacing w:after="156"/>
      </w:pPr>
      <w:r>
        <w:br w:type="textWrapping"/>
      </w:r>
      <w:bookmarkStart w:id="110" w:name="_Toc231994858"/>
      <w:bookmarkStart w:id="111" w:name="_Toc231994814"/>
      <w:r>
        <w:rPr>
          <w:rFonts w:hint="eastAsia"/>
        </w:rPr>
        <w:t>（规范性）</w:t>
      </w:r>
      <w:r>
        <w:br w:type="textWrapping"/>
      </w:r>
      <w:r>
        <w:rPr>
          <w:rFonts w:hint="eastAsia"/>
        </w:rPr>
        <w:t>肥料中尿素含量的测定方法（高效液相色谱法）</w:t>
      </w:r>
      <w:bookmarkEnd w:id="110"/>
      <w:bookmarkEnd w:id="111"/>
    </w:p>
    <w:p w14:paraId="5898D35C">
      <w:pPr>
        <w:pStyle w:val="78"/>
        <w:spacing w:before="156" w:after="156"/>
      </w:pPr>
      <w:bookmarkStart w:id="112" w:name="_Toc231994859"/>
      <w:bookmarkStart w:id="113" w:name="_Toc231994815"/>
      <w:r>
        <w:rPr>
          <w:rFonts w:hint="eastAsia"/>
        </w:rPr>
        <w:t>方法提要</w:t>
      </w:r>
      <w:bookmarkEnd w:id="112"/>
      <w:bookmarkEnd w:id="113"/>
    </w:p>
    <w:p w14:paraId="7212B750">
      <w:pPr>
        <w:pStyle w:val="56"/>
        <w:ind w:firstLine="420"/>
      </w:pPr>
      <w:r>
        <w:rPr>
          <w:rFonts w:hint="eastAsia"/>
        </w:rPr>
        <w:t>本方法来自</w:t>
      </w:r>
      <w:r>
        <w:t>ISO 19746</w:t>
      </w:r>
      <w:r>
        <w:rPr>
          <w:rFonts w:hint="eastAsia"/>
        </w:rPr>
        <w:t>。</w:t>
      </w:r>
    </w:p>
    <w:p w14:paraId="55C921E3">
      <w:pPr>
        <w:pStyle w:val="78"/>
        <w:spacing w:before="156" w:after="156"/>
      </w:pPr>
      <w:bookmarkStart w:id="114" w:name="_Toc231994816"/>
      <w:bookmarkStart w:id="115" w:name="_Toc231994860"/>
      <w:r>
        <w:rPr>
          <w:rFonts w:hint="eastAsia"/>
        </w:rPr>
        <w:t>试剂或材料</w:t>
      </w:r>
      <w:bookmarkEnd w:id="114"/>
      <w:bookmarkEnd w:id="115"/>
    </w:p>
    <w:p w14:paraId="75F80DF6">
      <w:pPr>
        <w:pStyle w:val="212"/>
      </w:pPr>
      <w:r>
        <w:t>乙腈</w:t>
      </w:r>
      <w:r>
        <w:rPr>
          <w:rFonts w:hint="eastAsia"/>
        </w:rPr>
        <w:t>：</w:t>
      </w:r>
      <w:r>
        <w:t>色谱级</w:t>
      </w:r>
      <w:r>
        <w:rPr>
          <w:rFonts w:hint="eastAsia"/>
        </w:rPr>
        <w:t>。</w:t>
      </w:r>
    </w:p>
    <w:p w14:paraId="69BC8C0C">
      <w:pPr>
        <w:pStyle w:val="212"/>
      </w:pPr>
      <w:r>
        <w:t>流动相：150 m</w:t>
      </w:r>
      <w:r>
        <w:rPr>
          <w:rFonts w:hint="eastAsia"/>
        </w:rPr>
        <w:t>L</w:t>
      </w:r>
      <w:r>
        <w:t>水+850 m</w:t>
      </w:r>
      <w:r>
        <w:rPr>
          <w:rFonts w:hint="eastAsia"/>
        </w:rPr>
        <w:t>L</w:t>
      </w:r>
      <w:r>
        <w:t>乙腈，混合均匀后，用0.22 μm的微孔滤膜过滤</w:t>
      </w:r>
      <w:r>
        <w:rPr>
          <w:rFonts w:hint="eastAsia"/>
        </w:rPr>
        <w:t>后，超声脱气</w:t>
      </w:r>
      <w:r>
        <w:t>10</w:t>
      </w:r>
      <w:r>
        <w:rPr>
          <w:rFonts w:hint="eastAsia"/>
        </w:rPr>
        <w:t>m</w:t>
      </w:r>
      <w:r>
        <w:t>in。</w:t>
      </w:r>
    </w:p>
    <w:p w14:paraId="654DA25F">
      <w:pPr>
        <w:pStyle w:val="212"/>
      </w:pPr>
      <w:r>
        <w:t>尿素标准溶液（0.5mg/m</w:t>
      </w:r>
      <w:r>
        <w:rPr>
          <w:rFonts w:hint="eastAsia"/>
        </w:rPr>
        <w:t>L</w:t>
      </w:r>
      <w:r>
        <w:t xml:space="preserve">）：准确称取0.5000 g </w:t>
      </w:r>
      <w:r>
        <w:rPr>
          <w:rFonts w:hint="eastAsia"/>
        </w:rPr>
        <w:t>高纯</w:t>
      </w:r>
      <w:r>
        <w:t>尿素溶解于流动相中，用流动相定容至1L，</w:t>
      </w:r>
      <w:r>
        <w:rPr>
          <w:rFonts w:hint="eastAsia"/>
        </w:rPr>
        <w:t>摇</w:t>
      </w:r>
      <w:r>
        <w:t>匀</w:t>
      </w:r>
      <w:r>
        <w:rPr>
          <w:rFonts w:hint="eastAsia"/>
        </w:rPr>
        <w:t>。</w:t>
      </w:r>
    </w:p>
    <w:p w14:paraId="10AA806B">
      <w:pPr>
        <w:pStyle w:val="78"/>
        <w:spacing w:before="156" w:after="156"/>
      </w:pPr>
      <w:bookmarkStart w:id="116" w:name="_Toc231994817"/>
      <w:bookmarkStart w:id="117" w:name="_Toc231994861"/>
      <w:r>
        <w:rPr>
          <w:rFonts w:hint="eastAsia"/>
        </w:rPr>
        <w:t>仪器设备</w:t>
      </w:r>
      <w:bookmarkEnd w:id="116"/>
      <w:bookmarkEnd w:id="117"/>
    </w:p>
    <w:p w14:paraId="3CA38506">
      <w:pPr>
        <w:pStyle w:val="212"/>
      </w:pPr>
      <w:r>
        <w:rPr>
          <w:rFonts w:hint="eastAsia"/>
        </w:rPr>
        <w:t>超声波清洗器。</w:t>
      </w:r>
    </w:p>
    <w:p w14:paraId="7B19AFA6">
      <w:pPr>
        <w:pStyle w:val="212"/>
      </w:pPr>
      <w:r>
        <w:rPr>
          <w:rFonts w:hint="eastAsia"/>
        </w:rPr>
        <w:t>高效液相色谱仪，</w:t>
      </w:r>
      <w:r>
        <w:rPr>
          <w:rFonts w:hint="eastAsia"/>
          <w:color w:val="1552D1"/>
        </w:rPr>
        <w:t>配备</w:t>
      </w:r>
      <w:r>
        <w:rPr>
          <w:rFonts w:hint="eastAsia"/>
        </w:rPr>
        <w:t>紫外检测器。</w:t>
      </w:r>
    </w:p>
    <w:p w14:paraId="2EEA9BB4">
      <w:pPr>
        <w:pStyle w:val="212"/>
      </w:pPr>
      <w:r>
        <w:t>微量</w:t>
      </w:r>
      <w:r>
        <w:rPr>
          <w:rFonts w:hint="eastAsia"/>
          <w:color w:val="1552D1"/>
        </w:rPr>
        <w:t>进样</w:t>
      </w:r>
      <w:r>
        <w:t>器</w:t>
      </w:r>
      <w:r>
        <w:rPr>
          <w:rFonts w:hint="eastAsia"/>
        </w:rPr>
        <w:t>，5 μL - 50 μL。</w:t>
      </w:r>
    </w:p>
    <w:p w14:paraId="50DD63D4">
      <w:pPr>
        <w:pStyle w:val="212"/>
      </w:pPr>
      <w:r>
        <w:t>针头式过滤器</w:t>
      </w:r>
      <w:r>
        <w:rPr>
          <w:rFonts w:hint="eastAsia"/>
        </w:rPr>
        <w:t>，带0.22 μm 孔径的有机滤膜。</w:t>
      </w:r>
    </w:p>
    <w:p w14:paraId="56316C71">
      <w:pPr>
        <w:pStyle w:val="212"/>
      </w:pPr>
      <w:r>
        <w:rPr>
          <w:rFonts w:hint="eastAsia"/>
        </w:rPr>
        <w:t>进样环，体积10 μL。</w:t>
      </w:r>
    </w:p>
    <w:p w14:paraId="6724EC2B">
      <w:pPr>
        <w:pStyle w:val="212"/>
      </w:pPr>
      <w:r>
        <w:rPr>
          <w:rFonts w:hint="eastAsia"/>
        </w:rPr>
        <w:t>筛子，孔径0</w:t>
      </w:r>
      <w:r>
        <w:t xml:space="preserve">.5 </w:t>
      </w:r>
      <w:r>
        <w:rPr>
          <w:rFonts w:hint="eastAsia"/>
        </w:rPr>
        <w:t>mm。</w:t>
      </w:r>
    </w:p>
    <w:p w14:paraId="7F7292B5">
      <w:pPr>
        <w:pStyle w:val="212"/>
      </w:pPr>
      <w:r>
        <w:rPr>
          <w:rFonts w:hint="eastAsia"/>
        </w:rPr>
        <w:t>滤纸，孔径2 μm。</w:t>
      </w:r>
    </w:p>
    <w:p w14:paraId="2D6892CD">
      <w:pPr>
        <w:pStyle w:val="78"/>
        <w:spacing w:before="156" w:after="156"/>
      </w:pPr>
      <w:bookmarkStart w:id="118" w:name="_Toc231994862"/>
      <w:bookmarkStart w:id="119" w:name="_Toc231994818"/>
      <w:r>
        <w:rPr>
          <w:rFonts w:hint="eastAsia"/>
        </w:rPr>
        <w:t>测定步骤</w:t>
      </w:r>
      <w:bookmarkEnd w:id="118"/>
      <w:bookmarkEnd w:id="119"/>
    </w:p>
    <w:p w14:paraId="09FDDD75">
      <w:pPr>
        <w:pStyle w:val="79"/>
        <w:spacing w:before="156" w:after="156"/>
      </w:pPr>
      <w:bookmarkStart w:id="120" w:name="_Toc231994819"/>
      <w:r>
        <w:rPr>
          <w:rFonts w:hint="eastAsia"/>
        </w:rPr>
        <w:t>样品</w:t>
      </w:r>
      <w:bookmarkEnd w:id="120"/>
    </w:p>
    <w:p w14:paraId="058FC631">
      <w:pPr>
        <w:pStyle w:val="56"/>
        <w:ind w:firstLine="420"/>
      </w:pPr>
      <w:r>
        <w:rPr>
          <w:rFonts w:hint="eastAsia"/>
        </w:rPr>
        <w:t>见正文</w:t>
      </w:r>
      <w:r>
        <w:t>5</w:t>
      </w:r>
      <w:r>
        <w:rPr>
          <w:rFonts w:hint="eastAsia"/>
        </w:rPr>
        <w:t>.</w:t>
      </w:r>
      <w:r>
        <w:t>2</w:t>
      </w:r>
      <w:r>
        <w:rPr>
          <w:rFonts w:hint="eastAsia"/>
        </w:rPr>
        <w:t>.</w:t>
      </w:r>
      <w:r>
        <w:t>4</w:t>
      </w:r>
      <w:r>
        <w:rPr>
          <w:rFonts w:hint="eastAsia"/>
        </w:rPr>
        <w:t>。</w:t>
      </w:r>
    </w:p>
    <w:p w14:paraId="419AB8A4">
      <w:pPr>
        <w:pStyle w:val="79"/>
        <w:spacing w:before="156" w:after="156"/>
      </w:pPr>
      <w:bookmarkStart w:id="121" w:name="_Toc231994820"/>
      <w:r>
        <w:rPr>
          <w:rFonts w:hint="eastAsia"/>
        </w:rPr>
        <w:t>试样制备</w:t>
      </w:r>
      <w:bookmarkEnd w:id="121"/>
    </w:p>
    <w:p w14:paraId="2D4C5755">
      <w:pPr>
        <w:pStyle w:val="81"/>
        <w:spacing w:before="156" w:after="156"/>
      </w:pPr>
      <w:r>
        <w:rPr>
          <w:rFonts w:hint="eastAsia"/>
        </w:rPr>
        <w:t>固体肥料</w:t>
      </w:r>
    </w:p>
    <w:p w14:paraId="13F0EECD">
      <w:pPr>
        <w:pStyle w:val="56"/>
        <w:ind w:firstLine="420"/>
      </w:pPr>
      <w:r>
        <w:rPr>
          <w:rFonts w:hint="eastAsia"/>
          <w:color w:val="0000FF"/>
        </w:rPr>
        <w:t>尿素：</w:t>
      </w:r>
      <w:r>
        <w:rPr>
          <w:rFonts w:hint="eastAsia"/>
        </w:rPr>
        <w:t>取500 g分装样品作为试样；复合肥料：取100 g肥料样品做为试样，磨碎过0.5 mm孔径的筛</w:t>
      </w:r>
      <w:r>
        <w:rPr>
          <w:rFonts w:hint="eastAsia"/>
          <w:color w:val="1552D1"/>
        </w:rPr>
        <w:t>子</w:t>
      </w:r>
      <w:r>
        <w:rPr>
          <w:rFonts w:hint="eastAsia"/>
        </w:rPr>
        <w:t>，混合均匀后保存于干净和干燥环境中。</w:t>
      </w:r>
    </w:p>
    <w:p w14:paraId="6F9003A1">
      <w:pPr>
        <w:pStyle w:val="81"/>
        <w:spacing w:before="156" w:after="156"/>
      </w:pPr>
      <w:r>
        <w:rPr>
          <w:rFonts w:hint="eastAsia"/>
        </w:rPr>
        <w:t>液体肥料</w:t>
      </w:r>
    </w:p>
    <w:p w14:paraId="1DD1C935">
      <w:pPr>
        <w:pStyle w:val="56"/>
        <w:ind w:firstLine="420"/>
      </w:pPr>
      <w:r>
        <w:rPr>
          <w:rFonts w:hint="eastAsia"/>
        </w:rPr>
        <w:t>取100 mL混合均匀后的液体，用孔径为</w:t>
      </w:r>
      <w:r>
        <w:rPr>
          <w:rFonts w:hint="eastAsia"/>
          <w:color w:val="1552D1"/>
        </w:rPr>
        <w:t>2 μm的滤纸过滤后待测</w:t>
      </w:r>
      <w:r>
        <w:rPr>
          <w:rFonts w:hint="eastAsia"/>
        </w:rPr>
        <w:t>。</w:t>
      </w:r>
    </w:p>
    <w:p w14:paraId="08B25AC7">
      <w:pPr>
        <w:pStyle w:val="79"/>
        <w:spacing w:before="156" w:after="156"/>
        <w:rPr>
          <w:rFonts w:ascii="Times New Roman" w:eastAsia="宋体"/>
          <w:szCs w:val="21"/>
        </w:rPr>
      </w:pPr>
      <w:bookmarkStart w:id="122" w:name="_Toc231994821"/>
      <w:r>
        <w:rPr>
          <w:rFonts w:hint="eastAsia"/>
        </w:rPr>
        <w:t>试样溶液的制备</w:t>
      </w:r>
      <w:bookmarkEnd w:id="122"/>
    </w:p>
    <w:p w14:paraId="59D91975">
      <w:pPr>
        <w:pStyle w:val="232"/>
        <w:spacing w:line="240" w:lineRule="auto"/>
        <w:rPr>
          <w:rFonts w:ascii="Times New Roman" w:hAnsi="Times New Roman"/>
        </w:rPr>
      </w:pPr>
      <w:r>
        <w:rPr>
          <w:rFonts w:hint="eastAsia" w:ascii="Times New Roman" w:hAnsi="Times New Roman"/>
        </w:rPr>
        <w:t>称取0.1-0.5 g固体或者液体肥料样品（精确至万分之一）放置于25 mL烧杯中，该样品中应含有约 1 mg- 2 mg尿素，记录肥料样品的质量，然后添加10 mL流动相溶液于烧杯中，放置于超声波中超声10 min，然后将溶液转移至25 mL容量瓶中，用流动相溶液定容、混匀后静置。用针头式过滤器过滤后获得待测溶液。每个样品至少进行3次重复测定。</w:t>
      </w:r>
    </w:p>
    <w:p w14:paraId="4D1A193E">
      <w:pPr>
        <w:pStyle w:val="79"/>
        <w:spacing w:before="156" w:after="156"/>
        <w:rPr>
          <w:rFonts w:ascii="Times New Roman" w:eastAsia="宋体"/>
          <w:szCs w:val="21"/>
        </w:rPr>
      </w:pPr>
      <w:bookmarkStart w:id="123" w:name="_Toc231994822"/>
      <w:r>
        <w:rPr>
          <w:rFonts w:hint="eastAsia"/>
        </w:rPr>
        <w:t>尿素标准工作溶液的配制</w:t>
      </w:r>
      <w:bookmarkEnd w:id="123"/>
    </w:p>
    <w:p w14:paraId="71FFAD51">
      <w:pPr>
        <w:pStyle w:val="232"/>
        <w:spacing w:line="240" w:lineRule="auto"/>
        <w:rPr>
          <w:rFonts w:ascii="Times New Roman" w:hAnsi="Times New Roman"/>
        </w:rPr>
      </w:pPr>
      <w:r>
        <w:rPr>
          <w:rFonts w:hint="eastAsia" w:ascii="Times New Roman" w:hAnsi="Times New Roman"/>
        </w:rPr>
        <w:t>每个标准溶液至少进行2次重复测定。用移液管准确吸取0</w:t>
      </w:r>
      <w:r>
        <w:rPr>
          <w:rFonts w:ascii="Times New Roman" w:hAnsi="Times New Roman"/>
        </w:rPr>
        <w:t>.00</w:t>
      </w:r>
      <w:r>
        <w:rPr>
          <w:rFonts w:hint="eastAsia" w:ascii="Times New Roman" w:hAnsi="Times New Roman"/>
        </w:rPr>
        <w:t>mL、0.5</w:t>
      </w:r>
      <w:r>
        <w:rPr>
          <w:rFonts w:ascii="Times New Roman" w:hAnsi="Times New Roman"/>
        </w:rPr>
        <w:t>0</w:t>
      </w:r>
      <w:r>
        <w:rPr>
          <w:rFonts w:hint="eastAsia" w:ascii="Times New Roman" w:hAnsi="Times New Roman"/>
        </w:rPr>
        <w:t xml:space="preserve"> mL、1.00 mL、3.00 mL、5.00 mL、10.00 mL尿素标准溶液放置于25 mL容量瓶中，用流动相溶液定容后混匀，再将溶液分别用针头式过滤器过滤后获得标准曲线系列溶液。</w:t>
      </w:r>
    </w:p>
    <w:p w14:paraId="2C9C36D4">
      <w:pPr>
        <w:pStyle w:val="79"/>
        <w:spacing w:before="156" w:after="156"/>
      </w:pPr>
      <w:bookmarkStart w:id="124" w:name="_Toc231994823"/>
      <w:r>
        <w:rPr>
          <w:rFonts w:hint="eastAsia"/>
        </w:rPr>
        <w:t>液相色谱测定条件</w:t>
      </w:r>
      <w:bookmarkEnd w:id="124"/>
    </w:p>
    <w:p w14:paraId="2604836F">
      <w:pPr>
        <w:pStyle w:val="56"/>
        <w:ind w:firstLine="420"/>
      </w:pPr>
      <w:r>
        <w:rPr>
          <w:rFonts w:hint="eastAsia"/>
        </w:rPr>
        <w:t>推荐的色谱条件参见表B</w:t>
      </w:r>
      <w:r>
        <w:t>.1</w:t>
      </w:r>
      <w:r>
        <w:rPr>
          <w:rFonts w:hint="eastAsia"/>
        </w:rPr>
        <w:t>。最佳的色谱测定条件应该根据不同仪器和气候条件进行测定。</w:t>
      </w:r>
    </w:p>
    <w:p w14:paraId="5F85726D">
      <w:pPr>
        <w:pStyle w:val="77"/>
        <w:spacing w:before="156" w:after="156"/>
      </w:pPr>
      <w:r>
        <w:rPr>
          <w:rFonts w:hint="eastAsia"/>
        </w:rPr>
        <w:t>推荐的色谱条件</w:t>
      </w:r>
    </w:p>
    <w:tbl>
      <w:tblPr>
        <w:tblStyle w:val="27"/>
        <w:tblW w:w="0" w:type="auto"/>
        <w:tblInd w:w="1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0" w:type="dxa"/>
          <w:bottom w:w="0" w:type="dxa"/>
          <w:right w:w="100" w:type="dxa"/>
        </w:tblCellMar>
      </w:tblPr>
      <w:tblGrid>
        <w:gridCol w:w="3767"/>
        <w:gridCol w:w="3196"/>
        <w:gridCol w:w="2258"/>
      </w:tblGrid>
      <w:tr w14:paraId="6DE9FB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3825" w:type="dxa"/>
            <w:tcBorders>
              <w:top w:val="single" w:color="auto" w:sz="8" w:space="0"/>
              <w:bottom w:val="single" w:color="auto" w:sz="8" w:space="0"/>
            </w:tcBorders>
            <w:shd w:val="clear" w:color="auto" w:fill="auto"/>
            <w:vAlign w:val="center"/>
          </w:tcPr>
          <w:p w14:paraId="414F3E1E">
            <w:pPr>
              <w:spacing w:line="240" w:lineRule="auto"/>
              <w:rPr>
                <w:rFonts w:ascii="Times New Roman" w:hAnsi="Times New Roman"/>
                <w:bCs/>
                <w:sz w:val="18"/>
              </w:rPr>
            </w:pPr>
            <w:r>
              <w:rPr>
                <w:rFonts w:ascii="Times New Roman" w:hAnsi="Times New Roman"/>
                <w:bCs/>
                <w:sz w:val="18"/>
              </w:rPr>
              <w:t>色谱柱</w:t>
            </w:r>
            <w:r>
              <w:rPr>
                <w:rFonts w:ascii="Times New Roman" w:hAnsi="Times New Roman"/>
                <w:bCs/>
                <w:sz w:val="18"/>
                <w:vertAlign w:val="superscript"/>
              </w:rPr>
              <w:t>a</w:t>
            </w:r>
          </w:p>
        </w:tc>
        <w:tc>
          <w:tcPr>
            <w:tcW w:w="3230" w:type="dxa"/>
            <w:tcBorders>
              <w:top w:val="single" w:color="auto" w:sz="8" w:space="0"/>
              <w:bottom w:val="single" w:color="auto" w:sz="8" w:space="0"/>
            </w:tcBorders>
            <w:shd w:val="clear" w:color="auto" w:fill="auto"/>
            <w:vAlign w:val="center"/>
          </w:tcPr>
          <w:p w14:paraId="6F74AE39">
            <w:pPr>
              <w:spacing w:line="240" w:lineRule="auto"/>
              <w:rPr>
                <w:rFonts w:ascii="Times New Roman" w:hAnsi="Times New Roman"/>
                <w:bCs/>
                <w:sz w:val="18"/>
              </w:rPr>
            </w:pPr>
            <w:bookmarkStart w:id="125" w:name="OLE_LINK2"/>
            <w:r>
              <w:rPr>
                <w:rFonts w:ascii="Times New Roman" w:hAnsi="Times New Roman"/>
                <w:bCs/>
                <w:sz w:val="18"/>
              </w:rPr>
              <w:t>氨丙基柱</w:t>
            </w:r>
            <w:bookmarkEnd w:id="125"/>
          </w:p>
          <w:p w14:paraId="1F8B9E20">
            <w:pPr>
              <w:spacing w:line="240" w:lineRule="auto"/>
              <w:rPr>
                <w:rFonts w:ascii="Times New Roman" w:hAnsi="Times New Roman"/>
                <w:bCs/>
                <w:sz w:val="18"/>
              </w:rPr>
            </w:pPr>
            <w:r>
              <w:rPr>
                <w:rFonts w:ascii="Times New Roman" w:hAnsi="Times New Roman"/>
                <w:bCs/>
                <w:sz w:val="18"/>
              </w:rPr>
              <w:t>Aminopropyl column</w:t>
            </w:r>
          </w:p>
        </w:tc>
        <w:tc>
          <w:tcPr>
            <w:tcW w:w="2283" w:type="dxa"/>
            <w:tcBorders>
              <w:top w:val="single" w:color="auto" w:sz="8" w:space="0"/>
              <w:bottom w:val="single" w:color="auto" w:sz="8" w:space="0"/>
            </w:tcBorders>
            <w:shd w:val="clear" w:color="auto" w:fill="auto"/>
            <w:vAlign w:val="center"/>
          </w:tcPr>
          <w:p w14:paraId="1E0AAAD0">
            <w:pPr>
              <w:spacing w:line="240" w:lineRule="auto"/>
              <w:rPr>
                <w:rFonts w:ascii="Times New Roman" w:hAnsi="Times New Roman"/>
                <w:bCs/>
                <w:sz w:val="18"/>
              </w:rPr>
            </w:pPr>
            <w:r>
              <w:rPr>
                <w:rFonts w:ascii="Times New Roman" w:hAnsi="Times New Roman"/>
                <w:bCs/>
                <w:sz w:val="18"/>
              </w:rPr>
              <w:t xml:space="preserve">RP.8 </w:t>
            </w:r>
            <w:r>
              <w:rPr>
                <w:rFonts w:ascii="Times New Roman" w:hAnsi="Times New Roman"/>
                <w:bCs/>
                <w:sz w:val="18"/>
                <w:vertAlign w:val="superscript"/>
              </w:rPr>
              <w:t>c,d</w:t>
            </w:r>
          </w:p>
        </w:tc>
      </w:tr>
      <w:tr w14:paraId="577D0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3825" w:type="dxa"/>
            <w:tcBorders>
              <w:top w:val="single" w:color="auto" w:sz="8" w:space="0"/>
            </w:tcBorders>
            <w:shd w:val="clear" w:color="auto" w:fill="auto"/>
            <w:vAlign w:val="center"/>
          </w:tcPr>
          <w:p w14:paraId="3AFAEA80">
            <w:pPr>
              <w:spacing w:line="240" w:lineRule="auto"/>
              <w:rPr>
                <w:rFonts w:ascii="Times New Roman" w:hAnsi="Times New Roman"/>
                <w:bCs/>
                <w:sz w:val="18"/>
              </w:rPr>
            </w:pPr>
            <w:r>
              <w:rPr>
                <w:rFonts w:ascii="Times New Roman" w:hAnsi="Times New Roman"/>
                <w:bCs/>
                <w:sz w:val="18"/>
              </w:rPr>
              <w:t>流速</w:t>
            </w:r>
            <w:r>
              <w:rPr>
                <w:rFonts w:ascii="Times New Roman" w:hAnsi="Times New Roman"/>
                <w:bCs/>
                <w:sz w:val="18"/>
                <w:vertAlign w:val="superscript"/>
              </w:rPr>
              <w:t>b</w:t>
            </w:r>
          </w:p>
        </w:tc>
        <w:tc>
          <w:tcPr>
            <w:tcW w:w="3230" w:type="dxa"/>
            <w:tcBorders>
              <w:top w:val="single" w:color="auto" w:sz="8" w:space="0"/>
            </w:tcBorders>
            <w:shd w:val="clear" w:color="auto" w:fill="auto"/>
            <w:vAlign w:val="center"/>
          </w:tcPr>
          <w:p w14:paraId="16F9D774">
            <w:pPr>
              <w:spacing w:line="240" w:lineRule="auto"/>
              <w:rPr>
                <w:rFonts w:ascii="Times New Roman" w:hAnsi="Times New Roman"/>
                <w:bCs/>
                <w:sz w:val="18"/>
              </w:rPr>
            </w:pPr>
            <w:r>
              <w:rPr>
                <w:rFonts w:ascii="Times New Roman" w:hAnsi="Times New Roman"/>
                <w:bCs/>
                <w:sz w:val="18"/>
              </w:rPr>
              <w:t>1.0 m</w:t>
            </w:r>
            <w:r>
              <w:rPr>
                <w:rFonts w:hint="eastAsia" w:ascii="Times New Roman" w:hAnsi="Times New Roman"/>
                <w:bCs/>
                <w:sz w:val="18"/>
              </w:rPr>
              <w:t>L</w:t>
            </w:r>
            <w:r>
              <w:rPr>
                <w:rFonts w:ascii="Times New Roman" w:hAnsi="Times New Roman"/>
                <w:bCs/>
                <w:sz w:val="18"/>
              </w:rPr>
              <w:t>/min</w:t>
            </w:r>
          </w:p>
        </w:tc>
        <w:tc>
          <w:tcPr>
            <w:tcW w:w="2283" w:type="dxa"/>
            <w:tcBorders>
              <w:top w:val="single" w:color="auto" w:sz="8" w:space="0"/>
            </w:tcBorders>
            <w:shd w:val="clear" w:color="auto" w:fill="auto"/>
            <w:vAlign w:val="center"/>
          </w:tcPr>
          <w:p w14:paraId="7B74754C">
            <w:pPr>
              <w:spacing w:line="240" w:lineRule="auto"/>
              <w:rPr>
                <w:rFonts w:ascii="Times New Roman" w:hAnsi="Times New Roman"/>
                <w:bCs/>
                <w:sz w:val="18"/>
              </w:rPr>
            </w:pPr>
            <w:r>
              <w:rPr>
                <w:rFonts w:ascii="Times New Roman" w:hAnsi="Times New Roman"/>
                <w:bCs/>
                <w:sz w:val="18"/>
              </w:rPr>
              <w:t>1.0 m</w:t>
            </w:r>
            <w:r>
              <w:rPr>
                <w:rFonts w:hint="eastAsia" w:ascii="Times New Roman" w:hAnsi="Times New Roman"/>
                <w:bCs/>
                <w:sz w:val="18"/>
              </w:rPr>
              <w:t>L</w:t>
            </w:r>
            <w:r>
              <w:rPr>
                <w:rFonts w:ascii="Times New Roman" w:hAnsi="Times New Roman"/>
                <w:bCs/>
                <w:sz w:val="18"/>
              </w:rPr>
              <w:t>/min</w:t>
            </w:r>
          </w:p>
        </w:tc>
      </w:tr>
      <w:tr w14:paraId="50914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3825" w:type="dxa"/>
            <w:shd w:val="clear" w:color="auto" w:fill="auto"/>
            <w:vAlign w:val="center"/>
          </w:tcPr>
          <w:p w14:paraId="7EEBC647">
            <w:pPr>
              <w:spacing w:line="240" w:lineRule="auto"/>
              <w:rPr>
                <w:rFonts w:ascii="Times New Roman" w:hAnsi="Times New Roman"/>
                <w:bCs/>
                <w:sz w:val="18"/>
              </w:rPr>
            </w:pPr>
            <w:r>
              <w:rPr>
                <w:rFonts w:ascii="Times New Roman" w:hAnsi="Times New Roman"/>
                <w:bCs/>
                <w:sz w:val="18"/>
              </w:rPr>
              <w:t>注射体积</w:t>
            </w:r>
          </w:p>
        </w:tc>
        <w:tc>
          <w:tcPr>
            <w:tcW w:w="3230" w:type="dxa"/>
            <w:shd w:val="clear" w:color="auto" w:fill="auto"/>
            <w:vAlign w:val="center"/>
          </w:tcPr>
          <w:p w14:paraId="49BC8635">
            <w:pPr>
              <w:spacing w:line="240" w:lineRule="auto"/>
              <w:rPr>
                <w:rFonts w:ascii="Times New Roman" w:hAnsi="Times New Roman"/>
                <w:bCs/>
                <w:sz w:val="18"/>
              </w:rPr>
            </w:pPr>
            <w:r>
              <w:rPr>
                <w:rFonts w:ascii="Times New Roman" w:hAnsi="Times New Roman"/>
                <w:bCs/>
                <w:sz w:val="18"/>
              </w:rPr>
              <w:t>10 μL</w:t>
            </w:r>
          </w:p>
        </w:tc>
        <w:tc>
          <w:tcPr>
            <w:tcW w:w="2283" w:type="dxa"/>
            <w:shd w:val="clear" w:color="auto" w:fill="auto"/>
            <w:vAlign w:val="center"/>
          </w:tcPr>
          <w:p w14:paraId="0080A668">
            <w:pPr>
              <w:spacing w:line="240" w:lineRule="auto"/>
              <w:rPr>
                <w:rFonts w:ascii="Times New Roman" w:hAnsi="Times New Roman"/>
                <w:bCs/>
                <w:sz w:val="18"/>
              </w:rPr>
            </w:pPr>
            <w:r>
              <w:rPr>
                <w:rFonts w:ascii="Times New Roman" w:hAnsi="Times New Roman"/>
                <w:bCs/>
                <w:sz w:val="18"/>
              </w:rPr>
              <w:t>20 μL</w:t>
            </w:r>
          </w:p>
        </w:tc>
      </w:tr>
      <w:tr w14:paraId="24F724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3825" w:type="dxa"/>
            <w:shd w:val="clear" w:color="auto" w:fill="auto"/>
            <w:vAlign w:val="center"/>
          </w:tcPr>
          <w:p w14:paraId="7A6C60DD">
            <w:pPr>
              <w:spacing w:line="240" w:lineRule="auto"/>
              <w:rPr>
                <w:rFonts w:ascii="Times New Roman" w:hAnsi="Times New Roman"/>
                <w:bCs/>
                <w:sz w:val="18"/>
              </w:rPr>
            </w:pPr>
            <w:r>
              <w:rPr>
                <w:rFonts w:ascii="Times New Roman" w:hAnsi="Times New Roman"/>
                <w:bCs/>
                <w:sz w:val="18"/>
              </w:rPr>
              <w:t>柱温</w:t>
            </w:r>
          </w:p>
        </w:tc>
        <w:tc>
          <w:tcPr>
            <w:tcW w:w="3230" w:type="dxa"/>
            <w:shd w:val="clear" w:color="auto" w:fill="auto"/>
            <w:vAlign w:val="center"/>
          </w:tcPr>
          <w:p w14:paraId="4B487F79">
            <w:pPr>
              <w:spacing w:line="240" w:lineRule="auto"/>
              <w:rPr>
                <w:rFonts w:ascii="Times New Roman" w:hAnsi="Times New Roman"/>
                <w:bCs/>
                <w:sz w:val="18"/>
              </w:rPr>
            </w:pPr>
            <w:r>
              <w:rPr>
                <w:rFonts w:ascii="Times New Roman" w:hAnsi="Times New Roman"/>
                <w:bCs/>
                <w:sz w:val="18"/>
              </w:rPr>
              <w:t>35 ℃</w:t>
            </w:r>
          </w:p>
        </w:tc>
        <w:tc>
          <w:tcPr>
            <w:tcW w:w="2283" w:type="dxa"/>
            <w:shd w:val="clear" w:color="auto" w:fill="auto"/>
            <w:vAlign w:val="center"/>
          </w:tcPr>
          <w:p w14:paraId="388AEA16">
            <w:pPr>
              <w:spacing w:line="240" w:lineRule="auto"/>
              <w:rPr>
                <w:rFonts w:ascii="Times New Roman" w:hAnsi="Times New Roman"/>
                <w:bCs/>
                <w:sz w:val="18"/>
              </w:rPr>
            </w:pPr>
            <w:r>
              <w:rPr>
                <w:rFonts w:ascii="Times New Roman" w:hAnsi="Times New Roman"/>
                <w:bCs/>
                <w:sz w:val="18"/>
              </w:rPr>
              <w:t>35 ℃</w:t>
            </w:r>
          </w:p>
        </w:tc>
      </w:tr>
      <w:tr w14:paraId="217C31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3825" w:type="dxa"/>
            <w:shd w:val="clear" w:color="auto" w:fill="auto"/>
            <w:vAlign w:val="center"/>
          </w:tcPr>
          <w:p w14:paraId="3E45164A">
            <w:pPr>
              <w:spacing w:line="240" w:lineRule="auto"/>
              <w:rPr>
                <w:rFonts w:ascii="Times New Roman" w:hAnsi="Times New Roman"/>
                <w:bCs/>
                <w:sz w:val="18"/>
              </w:rPr>
            </w:pPr>
            <w:r>
              <w:rPr>
                <w:rFonts w:ascii="Times New Roman" w:hAnsi="Times New Roman"/>
                <w:bCs/>
                <w:sz w:val="18"/>
              </w:rPr>
              <w:t>检测波长</w:t>
            </w:r>
          </w:p>
        </w:tc>
        <w:tc>
          <w:tcPr>
            <w:tcW w:w="3230" w:type="dxa"/>
            <w:shd w:val="clear" w:color="auto" w:fill="auto"/>
            <w:vAlign w:val="center"/>
          </w:tcPr>
          <w:p w14:paraId="788E8CE7">
            <w:pPr>
              <w:spacing w:line="240" w:lineRule="auto"/>
              <w:rPr>
                <w:rFonts w:ascii="Times New Roman" w:hAnsi="Times New Roman"/>
                <w:bCs/>
                <w:sz w:val="18"/>
              </w:rPr>
            </w:pPr>
            <w:r>
              <w:rPr>
                <w:rFonts w:ascii="Times New Roman" w:hAnsi="Times New Roman"/>
                <w:bCs/>
                <w:sz w:val="18"/>
              </w:rPr>
              <w:t>195 nm</w:t>
            </w:r>
          </w:p>
        </w:tc>
        <w:tc>
          <w:tcPr>
            <w:tcW w:w="2283" w:type="dxa"/>
            <w:shd w:val="clear" w:color="auto" w:fill="auto"/>
            <w:vAlign w:val="center"/>
          </w:tcPr>
          <w:p w14:paraId="1C935816">
            <w:pPr>
              <w:spacing w:line="240" w:lineRule="auto"/>
              <w:rPr>
                <w:rFonts w:ascii="Times New Roman" w:hAnsi="Times New Roman"/>
                <w:bCs/>
                <w:sz w:val="18"/>
              </w:rPr>
            </w:pPr>
            <w:r>
              <w:rPr>
                <w:rFonts w:ascii="Times New Roman" w:hAnsi="Times New Roman"/>
                <w:bCs/>
                <w:sz w:val="18"/>
              </w:rPr>
              <w:t>200 nm</w:t>
            </w:r>
          </w:p>
        </w:tc>
      </w:tr>
      <w:tr w14:paraId="7C65D3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0" w:type="dxa"/>
            <w:bottom w:w="0" w:type="dxa"/>
            <w:right w:w="100" w:type="dxa"/>
          </w:tblCellMar>
        </w:tblPrEx>
        <w:tc>
          <w:tcPr>
            <w:tcW w:w="9338" w:type="dxa"/>
            <w:gridSpan w:val="3"/>
            <w:shd w:val="clear" w:color="auto" w:fill="auto"/>
            <w:vAlign w:val="center"/>
          </w:tcPr>
          <w:p w14:paraId="40178BED">
            <w:pPr>
              <w:spacing w:line="240" w:lineRule="auto"/>
              <w:rPr>
                <w:rFonts w:hint="eastAsia" w:ascii="Times New Roman" w:hAnsi="Times New Roman" w:eastAsia="宋体"/>
                <w:color w:val="0000FF"/>
                <w:sz w:val="18"/>
                <w:lang w:eastAsia="zh-CN"/>
              </w:rPr>
            </w:pPr>
            <w:r>
              <w:rPr>
                <w:rFonts w:ascii="Times New Roman" w:hAnsi="Times New Roman"/>
                <w:sz w:val="18"/>
              </w:rPr>
              <w:t xml:space="preserve">a </w:t>
            </w:r>
            <w:r>
              <w:rPr>
                <w:rFonts w:ascii="Times New Roman" w:hAnsi="Times New Roman"/>
                <w:color w:val="0000FF"/>
                <w:sz w:val="18"/>
              </w:rPr>
              <w:t>丙氨基柱： 260mm×4.6 mm，5 μm；250</w:t>
            </w:r>
            <w:r>
              <w:rPr>
                <w:rFonts w:hint="eastAsia" w:ascii="Times New Roman" w:hAnsi="Times New Roman"/>
                <w:color w:val="0000FF"/>
                <w:sz w:val="18"/>
              </w:rPr>
              <w:t xml:space="preserve"> </w:t>
            </w:r>
            <w:r>
              <w:rPr>
                <w:rFonts w:ascii="Times New Roman" w:hAnsi="Times New Roman"/>
                <w:color w:val="0000FF"/>
                <w:sz w:val="18"/>
              </w:rPr>
              <w:t>mm</w:t>
            </w:r>
            <w:r>
              <w:rPr>
                <w:rFonts w:hint="eastAsia" w:ascii="Times New Roman" w:hAnsi="Times New Roman"/>
                <w:color w:val="0000FF"/>
                <w:sz w:val="18"/>
              </w:rPr>
              <w:t xml:space="preserve"> </w:t>
            </w:r>
            <w:r>
              <w:rPr>
                <w:rFonts w:ascii="Times New Roman" w:hAnsi="Times New Roman"/>
                <w:color w:val="0000FF"/>
                <w:sz w:val="18"/>
              </w:rPr>
              <w:t>×</w:t>
            </w:r>
            <w:r>
              <w:rPr>
                <w:rFonts w:hint="eastAsia" w:ascii="Times New Roman" w:hAnsi="Times New Roman"/>
                <w:color w:val="0000FF"/>
                <w:sz w:val="18"/>
              </w:rPr>
              <w:t xml:space="preserve"> </w:t>
            </w:r>
            <w:r>
              <w:rPr>
                <w:rFonts w:ascii="Times New Roman" w:hAnsi="Times New Roman"/>
                <w:color w:val="0000FF"/>
                <w:sz w:val="18"/>
              </w:rPr>
              <w:t>4.5 mm，5 μm</w:t>
            </w:r>
            <w:r>
              <w:rPr>
                <w:rFonts w:hint="eastAsia" w:ascii="Times New Roman" w:hAnsi="Times New Roman"/>
                <w:color w:val="0000FF"/>
                <w:sz w:val="18"/>
                <w:lang w:eastAsia="zh-CN"/>
              </w:rPr>
              <w:t>。</w:t>
            </w:r>
          </w:p>
          <w:p w14:paraId="31728E4F">
            <w:pPr>
              <w:spacing w:line="240" w:lineRule="auto"/>
              <w:rPr>
                <w:rFonts w:ascii="Times New Roman" w:hAnsi="Times New Roman"/>
                <w:sz w:val="18"/>
              </w:rPr>
            </w:pPr>
            <w:r>
              <w:rPr>
                <w:rFonts w:ascii="Times New Roman" w:hAnsi="Times New Roman"/>
                <w:sz w:val="18"/>
              </w:rPr>
              <w:t>b 流速是一个针对特定产品可进行优化的便捷参数，例如1</w:t>
            </w:r>
            <w:r>
              <w:rPr>
                <w:rFonts w:hint="eastAsia" w:ascii="Times New Roman" w:hAnsi="Times New Roman"/>
                <w:sz w:val="18"/>
              </w:rPr>
              <w:t>.</w:t>
            </w:r>
            <w:r>
              <w:rPr>
                <w:rFonts w:ascii="Times New Roman" w:hAnsi="Times New Roman"/>
                <w:sz w:val="18"/>
              </w:rPr>
              <w:t>0 m</w:t>
            </w:r>
            <w:r>
              <w:rPr>
                <w:rFonts w:hint="eastAsia" w:ascii="Times New Roman" w:hAnsi="Times New Roman"/>
                <w:sz w:val="18"/>
              </w:rPr>
              <w:t>L</w:t>
            </w:r>
            <w:r>
              <w:rPr>
                <w:rFonts w:ascii="Times New Roman" w:hAnsi="Times New Roman"/>
                <w:sz w:val="18"/>
              </w:rPr>
              <w:t>/min或1.3 m</w:t>
            </w:r>
            <w:r>
              <w:rPr>
                <w:rFonts w:hint="eastAsia" w:ascii="Times New Roman" w:hAnsi="Times New Roman"/>
                <w:sz w:val="18"/>
              </w:rPr>
              <w:t>L</w:t>
            </w:r>
            <w:r>
              <w:rPr>
                <w:rFonts w:ascii="Times New Roman" w:hAnsi="Times New Roman"/>
                <w:sz w:val="18"/>
              </w:rPr>
              <w:t>/min。</w:t>
            </w:r>
          </w:p>
          <w:p w14:paraId="6DD8764C">
            <w:pPr>
              <w:spacing w:line="240" w:lineRule="auto"/>
              <w:rPr>
                <w:rFonts w:ascii="Times New Roman" w:hAnsi="Times New Roman"/>
                <w:sz w:val="18"/>
              </w:rPr>
            </w:pPr>
            <w:r>
              <w:rPr>
                <w:rFonts w:ascii="Times New Roman" w:hAnsi="Times New Roman"/>
                <w:sz w:val="18"/>
              </w:rPr>
              <w:t>c 对复杂的三嗪酮液体来说，必须使用氨丙基柱系统用以避免干扰。</w:t>
            </w:r>
          </w:p>
          <w:p w14:paraId="646C927B">
            <w:pPr>
              <w:spacing w:line="240" w:lineRule="auto"/>
              <w:rPr>
                <w:rFonts w:ascii="Times New Roman" w:hAnsi="Times New Roman"/>
                <w:b/>
                <w:sz w:val="18"/>
              </w:rPr>
            </w:pPr>
            <w:r>
              <w:rPr>
                <w:rFonts w:ascii="Times New Roman" w:hAnsi="Times New Roman"/>
                <w:sz w:val="18"/>
              </w:rPr>
              <w:t xml:space="preserve">d </w:t>
            </w:r>
            <w:r>
              <w:rPr>
                <w:rFonts w:ascii="Times New Roman" w:hAnsi="Times New Roman"/>
                <w:bCs/>
                <w:color w:val="0000FF"/>
                <w:sz w:val="18"/>
              </w:rPr>
              <w:t>RP.8</w:t>
            </w:r>
            <w:r>
              <w:rPr>
                <w:rFonts w:ascii="Times New Roman" w:hAnsi="Times New Roman"/>
                <w:color w:val="0000FF"/>
                <w:sz w:val="18"/>
              </w:rPr>
              <w:t>柱</w:t>
            </w:r>
            <w:r>
              <w:rPr>
                <w:rFonts w:hint="eastAsia" w:ascii="Times New Roman" w:hAnsi="Times New Roman"/>
                <w:color w:val="0000FF"/>
                <w:sz w:val="18"/>
                <w:lang w:eastAsia="zh-CN"/>
              </w:rPr>
              <w:t>：</w:t>
            </w:r>
            <w:r>
              <w:rPr>
                <w:rFonts w:ascii="Times New Roman" w:hAnsi="Times New Roman"/>
                <w:color w:val="0000FF"/>
                <w:sz w:val="18"/>
              </w:rPr>
              <w:t>250</w:t>
            </w:r>
            <w:r>
              <w:rPr>
                <w:rFonts w:hint="eastAsia" w:ascii="Times New Roman" w:hAnsi="Times New Roman"/>
                <w:color w:val="0000FF"/>
                <w:sz w:val="18"/>
              </w:rPr>
              <w:t xml:space="preserve"> </w:t>
            </w:r>
            <w:r>
              <w:rPr>
                <w:rFonts w:ascii="Times New Roman" w:hAnsi="Times New Roman"/>
                <w:color w:val="0000FF"/>
                <w:sz w:val="18"/>
              </w:rPr>
              <w:t>mm</w:t>
            </w:r>
            <w:r>
              <w:rPr>
                <w:rFonts w:hint="eastAsia" w:ascii="Times New Roman" w:hAnsi="Times New Roman"/>
                <w:color w:val="0000FF"/>
                <w:sz w:val="18"/>
              </w:rPr>
              <w:t xml:space="preserve"> </w:t>
            </w:r>
            <w:r>
              <w:rPr>
                <w:rFonts w:ascii="Times New Roman" w:hAnsi="Times New Roman"/>
                <w:color w:val="0000FF"/>
                <w:sz w:val="18"/>
              </w:rPr>
              <w:t>×</w:t>
            </w:r>
            <w:r>
              <w:rPr>
                <w:rFonts w:hint="eastAsia" w:ascii="Times New Roman" w:hAnsi="Times New Roman"/>
                <w:color w:val="0000FF"/>
                <w:sz w:val="18"/>
              </w:rPr>
              <w:t xml:space="preserve"> </w:t>
            </w:r>
            <w:r>
              <w:rPr>
                <w:rFonts w:ascii="Times New Roman" w:hAnsi="Times New Roman"/>
                <w:color w:val="0000FF"/>
                <w:sz w:val="18"/>
              </w:rPr>
              <w:t>4 mm, 5 μm</w:t>
            </w:r>
            <w:r>
              <w:rPr>
                <w:rFonts w:hint="eastAsia" w:ascii="Times New Roman" w:hAnsi="Times New Roman"/>
                <w:color w:val="0000FF"/>
                <w:sz w:val="18"/>
              </w:rPr>
              <w:t>。</w:t>
            </w:r>
          </w:p>
        </w:tc>
      </w:tr>
    </w:tbl>
    <w:p w14:paraId="1FBF0025">
      <w:pPr>
        <w:pStyle w:val="79"/>
        <w:spacing w:before="156" w:after="156"/>
        <w:rPr>
          <w:rFonts w:ascii="Times New Roman" w:eastAsia="宋体"/>
          <w:szCs w:val="21"/>
        </w:rPr>
      </w:pPr>
      <w:bookmarkStart w:id="126" w:name="_Toc231994824"/>
      <w:r>
        <w:rPr>
          <w:rFonts w:hint="eastAsia"/>
        </w:rPr>
        <w:t>标准曲线系列溶液</w:t>
      </w:r>
      <w:bookmarkEnd w:id="126"/>
    </w:p>
    <w:p w14:paraId="4A4E5EE5">
      <w:pPr>
        <w:pStyle w:val="232"/>
        <w:spacing w:line="240" w:lineRule="auto"/>
      </w:pPr>
      <w:r>
        <w:rPr>
          <w:rFonts w:hint="eastAsia" w:ascii="Times New Roman" w:hAnsi="Times New Roman"/>
        </w:rPr>
        <w:t>调整HPLC设备至最佳的运行状态。随后注射10 μL标准曲线工作溶液，用HPLC测定溶液中的尿素含量。每个标准工作溶液至少重复测定2次。以测得的峰面积均值与对应的尿素质量绘制标准曲线或建立线性回归方程。</w:t>
      </w:r>
    </w:p>
    <w:p w14:paraId="4545CFCA">
      <w:pPr>
        <w:pStyle w:val="79"/>
        <w:spacing w:before="156" w:after="156"/>
        <w:rPr>
          <w:rFonts w:ascii="Times New Roman" w:eastAsia="宋体"/>
          <w:szCs w:val="21"/>
        </w:rPr>
      </w:pPr>
      <w:bookmarkStart w:id="127" w:name="_Toc231994825"/>
      <w:r>
        <w:rPr>
          <w:rFonts w:hint="eastAsia"/>
        </w:rPr>
        <w:t>试样溶液的测定</w:t>
      </w:r>
      <w:bookmarkEnd w:id="127"/>
    </w:p>
    <w:p w14:paraId="29A89003">
      <w:pPr>
        <w:pStyle w:val="232"/>
        <w:spacing w:line="240" w:lineRule="auto"/>
        <w:rPr>
          <w:rFonts w:ascii="Times New Roman" w:hAnsi="Times New Roman"/>
        </w:rPr>
      </w:pPr>
      <w:r>
        <w:rPr>
          <w:rFonts w:hint="eastAsia" w:ascii="Times New Roman" w:hAnsi="Times New Roman"/>
        </w:rPr>
        <w:t>在与测定标准工作溶液相同的条件下测定样品溶液，将测得的峰面积带入标准曲线或线性回归方程求得每份样品溶液中的尿素质量。</w:t>
      </w:r>
    </w:p>
    <w:p w14:paraId="2229BCDF">
      <w:pPr>
        <w:pStyle w:val="232"/>
        <w:spacing w:line="240" w:lineRule="auto"/>
        <w:rPr>
          <w:rFonts w:ascii="Times New Roman" w:hAnsi="Times New Roman"/>
        </w:rPr>
      </w:pPr>
      <w:r>
        <w:rPr>
          <w:rFonts w:hint="eastAsia" w:ascii="Times New Roman" w:hAnsi="Times New Roman"/>
        </w:rPr>
        <w:t>测定结束后，首先用流动相清洗色谱系统30 min，然后再用乙腈冲洗色谱系统30 min。最后按操作程序关闭仪器。</w:t>
      </w:r>
    </w:p>
    <w:p w14:paraId="56EEB030">
      <w:pPr>
        <w:pStyle w:val="78"/>
        <w:spacing w:before="156" w:after="156"/>
      </w:pPr>
      <w:bookmarkStart w:id="128" w:name="_Toc231994826"/>
      <w:bookmarkStart w:id="129" w:name="_Toc231994863"/>
      <w:r>
        <w:rPr>
          <w:rFonts w:hint="eastAsia"/>
        </w:rPr>
        <w:t>试验数据处理</w:t>
      </w:r>
      <w:bookmarkEnd w:id="128"/>
      <w:bookmarkEnd w:id="129"/>
    </w:p>
    <w:p w14:paraId="169EF52E">
      <w:pPr>
        <w:pStyle w:val="79"/>
        <w:spacing w:before="156" w:after="156"/>
      </w:pPr>
      <w:bookmarkStart w:id="130" w:name="_Toc231994827"/>
      <w:r>
        <w:rPr>
          <w:rFonts w:hint="eastAsia"/>
        </w:rPr>
        <w:t>计算公式</w:t>
      </w:r>
      <w:bookmarkEnd w:id="130"/>
    </w:p>
    <w:p w14:paraId="3A367943">
      <w:pPr>
        <w:pStyle w:val="56"/>
        <w:ind w:firstLine="480"/>
        <w:rPr>
          <w:sz w:val="24"/>
          <w:szCs w:val="24"/>
        </w:rPr>
      </w:pPr>
      <w:r>
        <w:rPr>
          <w:sz w:val="24"/>
          <w:szCs w:val="24"/>
        </w:rPr>
        <w:t>样品中尿素的质量分数（</w:t>
      </w:r>
      <w:r>
        <w:rPr>
          <w:rFonts w:hint="eastAsia"/>
          <w:sz w:val="24"/>
          <w:szCs w:val="24"/>
        </w:rPr>
        <w:t>U</w:t>
      </w:r>
      <w:r>
        <w:rPr>
          <w:sz w:val="24"/>
          <w:szCs w:val="24"/>
        </w:rPr>
        <w:t>），以百分比（%）表示，按公式（</w:t>
      </w:r>
      <w:r>
        <w:rPr>
          <w:rFonts w:hint="eastAsia"/>
          <w:sz w:val="24"/>
          <w:szCs w:val="24"/>
        </w:rPr>
        <w:t>B</w:t>
      </w:r>
      <w:r>
        <w:rPr>
          <w:sz w:val="24"/>
          <w:szCs w:val="24"/>
        </w:rPr>
        <w:t>.1）计算：</w:t>
      </w:r>
    </w:p>
    <w:p w14:paraId="492309CE">
      <w:pPr>
        <w:spacing w:line="600" w:lineRule="auto"/>
        <w:ind w:firstLine="420"/>
        <w:jc w:val="center"/>
        <w:rPr>
          <w:rFonts w:ascii="Times New Roman" w:hAnsi="Times New Roman"/>
          <w:sz w:val="24"/>
          <w:szCs w:val="24"/>
        </w:rPr>
      </w:pPr>
      <m:oMath>
        <m:r>
          <m:rPr>
            <m:nor/>
          </m:rPr>
          <w:rPr>
            <w:rFonts w:ascii="Times New Roman" w:hAnsi="Times New Roman"/>
            <w:i/>
            <w:sz w:val="24"/>
            <w:szCs w:val="24"/>
          </w:rPr>
          <m:t>U</m:t>
        </m:r>
        <m:r>
          <m:rPr>
            <m:nor/>
            <m:sty m:val="p"/>
          </m:rPr>
          <w:rPr>
            <w:rFonts w:ascii="Times New Roman" w:hAnsi="Times New Roman"/>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m:nor/>
                  </m:rPr>
                  <w:rPr>
                    <w:rFonts w:ascii="Times New Roman" w:hAnsi="Times New Roman"/>
                    <w:i/>
                    <w:sz w:val="24"/>
                    <w:szCs w:val="24"/>
                  </w:rPr>
                  <m:t>m</m:t>
                </m:r>
                <m:ctrlPr>
                  <w:rPr>
                    <w:rFonts w:ascii="Cambria Math" w:hAnsi="Cambria Math"/>
                    <w:i/>
                    <w:sz w:val="24"/>
                    <w:szCs w:val="24"/>
                  </w:rPr>
                </m:ctrlPr>
              </m:e>
              <m:sub>
                <m:r>
                  <m:rPr>
                    <m:nor/>
                    <m:sty m:val="p"/>
                  </m:rPr>
                  <w:rPr>
                    <w:rFonts w:ascii="Times New Roman" w:hAnsi="Times New Roman"/>
                    <w:sz w:val="24"/>
                    <w:szCs w:val="24"/>
                  </w:rPr>
                  <m:t>1</m:t>
                </m:r>
                <m:ctrlPr>
                  <w:rPr>
                    <w:rFonts w:ascii="Cambria Math" w:hAnsi="Cambria Math"/>
                    <w:i/>
                    <w:sz w:val="24"/>
                    <w:szCs w:val="24"/>
                  </w:rPr>
                </m:ctrlPr>
              </m:sub>
            </m:sSub>
            <m:r>
              <m:rPr>
                <m:nor/>
                <m:sty m:val="p"/>
              </m:rPr>
              <w:rPr>
                <w:rFonts w:ascii="Times New Roman" w:hAnsi="Times New Roman"/>
                <w:sz w:val="24"/>
                <w:szCs w:val="24"/>
              </w:rPr>
              <m:t>×</m:t>
            </m:r>
            <m:sSup>
              <m:sSupPr>
                <m:ctrlPr>
                  <w:rPr>
                    <w:rFonts w:ascii="Cambria Math" w:hAnsi="Cambria Math"/>
                    <w:i/>
                    <w:sz w:val="24"/>
                    <w:szCs w:val="24"/>
                  </w:rPr>
                </m:ctrlPr>
              </m:sSupPr>
              <m:e>
                <m:r>
                  <m:rPr>
                    <m:nor/>
                    <m:sty m:val="p"/>
                  </m:rPr>
                  <w:rPr>
                    <w:rFonts w:ascii="Times New Roman" w:hAnsi="Times New Roman"/>
                    <w:sz w:val="24"/>
                    <w:szCs w:val="24"/>
                  </w:rPr>
                  <m:t>10</m:t>
                </m:r>
                <m:ctrlPr>
                  <w:rPr>
                    <w:rFonts w:ascii="Cambria Math" w:hAnsi="Cambria Math"/>
                    <w:i/>
                    <w:sz w:val="24"/>
                    <w:szCs w:val="24"/>
                  </w:rPr>
                </m:ctrlPr>
              </m:e>
              <m:sup>
                <m:r>
                  <m:rPr>
                    <m:nor/>
                    <m:sty m:val="p"/>
                  </m:rPr>
                  <w:rPr>
                    <w:rFonts w:ascii="Times New Roman" w:hAnsi="Times New Roman"/>
                    <w:sz w:val="24"/>
                    <w:szCs w:val="24"/>
                  </w:rPr>
                  <m:t>-3</m:t>
                </m:r>
                <m:ctrlPr>
                  <w:rPr>
                    <w:rFonts w:ascii="Cambria Math" w:hAnsi="Cambria Math"/>
                    <w:i/>
                    <w:sz w:val="24"/>
                    <w:szCs w:val="24"/>
                  </w:rPr>
                </m:ctrlPr>
              </m:sup>
            </m:sSup>
            <m:ctrlPr>
              <w:rPr>
                <w:rFonts w:ascii="Cambria Math" w:hAnsi="Cambria Math"/>
                <w:i/>
                <w:sz w:val="24"/>
                <w:szCs w:val="24"/>
              </w:rPr>
            </m:ctrlPr>
          </m:num>
          <m:den>
            <m:r>
              <m:rPr>
                <m:nor/>
              </m:rPr>
              <w:rPr>
                <w:rFonts w:ascii="Times New Roman" w:hAnsi="Times New Roman"/>
                <w:i/>
                <w:sz w:val="24"/>
                <w:szCs w:val="24"/>
              </w:rPr>
              <m:t>m</m:t>
            </m:r>
            <m:ctrlPr>
              <w:rPr>
                <w:rFonts w:ascii="Cambria Math" w:hAnsi="Cambria Math"/>
                <w:i/>
                <w:sz w:val="24"/>
                <w:szCs w:val="24"/>
              </w:rPr>
            </m:ctrlPr>
          </m:den>
        </m:f>
        <m:r>
          <m:rPr>
            <m:nor/>
            <m:sty m:val="p"/>
          </m:rPr>
          <w:rPr>
            <w:rFonts w:ascii="Times New Roman" w:hAnsi="Times New Roman"/>
            <w:sz w:val="24"/>
            <w:szCs w:val="24"/>
          </w:rPr>
          <m:t>×100</m:t>
        </m:r>
      </m:oMath>
      <w:r>
        <w:rPr>
          <w:rFonts w:ascii="Times New Roman" w:hAnsi="Times New Roman"/>
          <w:sz w:val="24"/>
          <w:szCs w:val="24"/>
        </w:rPr>
        <w:t>………………………（</w:t>
      </w:r>
      <w:r>
        <w:rPr>
          <w:rFonts w:hint="eastAsia" w:ascii="Times New Roman" w:hAnsi="Times New Roman"/>
          <w:sz w:val="24"/>
          <w:szCs w:val="24"/>
        </w:rPr>
        <w:t>B</w:t>
      </w:r>
      <w:r>
        <w:rPr>
          <w:rFonts w:ascii="Times New Roman" w:hAnsi="Times New Roman"/>
          <w:sz w:val="24"/>
          <w:szCs w:val="24"/>
        </w:rPr>
        <w:t>.1）</w:t>
      </w:r>
    </w:p>
    <w:p w14:paraId="1BC49517">
      <w:pPr>
        <w:pStyle w:val="229"/>
        <w:ind w:firstLine="0" w:firstLineChars="0"/>
        <w:rPr>
          <w:rFonts w:ascii="Times New Roman"/>
          <w:sz w:val="24"/>
          <w:szCs w:val="24"/>
        </w:rPr>
      </w:pPr>
      <w:r>
        <w:rPr>
          <w:rFonts w:ascii="Times New Roman"/>
          <w:sz w:val="24"/>
          <w:szCs w:val="24"/>
        </w:rPr>
        <w:t>式中：</w:t>
      </w:r>
    </w:p>
    <w:p w14:paraId="23DFBB28">
      <w:pPr>
        <w:pStyle w:val="232"/>
        <w:spacing w:line="240" w:lineRule="auto"/>
        <w:ind w:firstLine="480"/>
        <w:rPr>
          <w:rFonts w:ascii="Times New Roman" w:hAnsi="Times New Roman"/>
          <w:sz w:val="24"/>
          <w:szCs w:val="24"/>
        </w:rPr>
      </w:pPr>
      <w:r>
        <w:rPr>
          <w:rFonts w:ascii="Times New Roman" w:hAnsi="Times New Roman"/>
          <w:sz w:val="24"/>
          <w:szCs w:val="24"/>
        </w:rPr>
        <w:t>m</w:t>
      </w:r>
      <w:r>
        <w:rPr>
          <w:rFonts w:ascii="Times New Roman" w:hAnsi="Times New Roman"/>
          <w:sz w:val="24"/>
          <w:szCs w:val="24"/>
          <w:vertAlign w:val="subscript"/>
        </w:rPr>
        <w:t>1</w:t>
      </w:r>
      <w:r>
        <w:rPr>
          <w:rFonts w:ascii="Times New Roman" w:hAnsi="Times New Roman"/>
          <w:sz w:val="24"/>
          <w:szCs w:val="24"/>
        </w:rPr>
        <w:t>——根据峰面积和标准曲线公式计算而来的试样溶液中的尿素质量，单位为克（g）；</w:t>
      </w:r>
    </w:p>
    <w:p w14:paraId="143AD446">
      <w:pPr>
        <w:pStyle w:val="232"/>
        <w:spacing w:line="240" w:lineRule="auto"/>
        <w:ind w:firstLine="480"/>
        <w:rPr>
          <w:rFonts w:ascii="Times New Roman" w:hAnsi="Times New Roman"/>
          <w:sz w:val="24"/>
          <w:szCs w:val="24"/>
        </w:rPr>
      </w:pPr>
      <w:r>
        <w:rPr>
          <w:rFonts w:ascii="Times New Roman" w:hAnsi="Times New Roman"/>
          <w:sz w:val="24"/>
          <w:szCs w:val="24"/>
        </w:rPr>
        <w:t>m—— 样品的质量，单位为克（g）；</w:t>
      </w:r>
    </w:p>
    <w:p w14:paraId="3B54449F">
      <w:pPr>
        <w:pStyle w:val="79"/>
        <w:spacing w:before="156" w:after="156"/>
      </w:pPr>
      <w:bookmarkStart w:id="131" w:name="_Toc231994828"/>
      <w:r>
        <w:rPr>
          <w:rFonts w:hint="eastAsia"/>
        </w:rPr>
        <w:t>表述</w:t>
      </w:r>
      <w:bookmarkEnd w:id="131"/>
    </w:p>
    <w:p w14:paraId="47538EBC">
      <w:pPr>
        <w:pStyle w:val="56"/>
        <w:ind w:firstLine="420"/>
      </w:pPr>
      <w:r>
        <w:rPr>
          <w:rFonts w:hint="eastAsia"/>
        </w:rPr>
        <w:t>计算结果保留到小数点后二位，取三个平行测定结果的算术平均值作为测定结果。</w:t>
      </w:r>
    </w:p>
    <w:p w14:paraId="1F68BCDF">
      <w:pPr>
        <w:pStyle w:val="56"/>
        <w:ind w:firstLine="420"/>
        <w:jc w:val="center"/>
      </w:pPr>
    </w:p>
    <w:p w14:paraId="65CE01A1">
      <w:pPr>
        <w:pStyle w:val="56"/>
        <w:ind w:firstLine="420"/>
        <w:jc w:val="center"/>
      </w:pPr>
    </w:p>
    <w:p w14:paraId="1CD07E1E">
      <w:pPr>
        <w:pStyle w:val="56"/>
        <w:ind w:firstLine="420"/>
        <w:jc w:val="center"/>
      </w:pPr>
      <w:r>
        <w:rPr>
          <w:rFonts w:hint="eastAsia"/>
        </w:rPr>
        <w:t>_________________</w:t>
      </w:r>
    </w:p>
    <w:p w14:paraId="52229427">
      <w:pPr>
        <w:pStyle w:val="56"/>
        <w:ind w:firstLine="420"/>
      </w:pPr>
    </w:p>
    <w:bookmarkEnd w:id="99"/>
    <w:p w14:paraId="7892072F">
      <w:pPr>
        <w:pStyle w:val="56"/>
        <w:ind w:firstLine="199" w:firstLineChars="95"/>
        <w:rPr>
          <w:rFonts w:hint="eastAsia"/>
        </w:rPr>
        <w:sectPr>
          <w:pgSz w:w="11906" w:h="16838"/>
          <w:pgMar w:top="1928" w:right="1134" w:bottom="1134" w:left="1134" w:header="1418" w:footer="1134" w:gutter="284"/>
          <w:cols w:space="425" w:num="1"/>
          <w:formProt w:val="0"/>
          <w:docGrid w:type="lines" w:linePitch="312" w:charSpace="0"/>
        </w:sectPr>
      </w:pPr>
      <w:bookmarkStart w:id="132" w:name="BookMark6"/>
    </w:p>
    <w:bookmarkEnd w:id="132"/>
    <w:p w14:paraId="74177AE8">
      <w:pPr>
        <w:pStyle w:val="56"/>
        <w:ind w:firstLine="0" w:firstLineChars="0"/>
        <w:rPr>
          <w:rFonts w:hint="eastAsia"/>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D4F7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0CBC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8A2E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7A0D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74C2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626B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7A9E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5837F">
    <w:pPr>
      <w:pStyle w:val="61"/>
      <w:spacing w:after="0"/>
    </w:pPr>
    <w:r>
      <w:fldChar w:fldCharType="begin"/>
    </w:r>
    <w:r>
      <w:instrText xml:space="preserve"> STYLEREF  标准文件_文件编号  \* MERGEFORMAT </w:instrText>
    </w:r>
    <w:r>
      <w:fldChar w:fldCharType="separate"/>
    </w:r>
    <w:r>
      <w:t>GB/T 35113—XXXX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B5277">
    <w:pPr>
      <w:pStyle w:val="18"/>
      <w:jc w:val="right"/>
    </w:pPr>
    <w:r>
      <w:fldChar w:fldCharType="begin"/>
    </w:r>
    <w:r>
      <w:instrText xml:space="preserve"> STYLEREF  标准文件_文件编号  \* MERGEFORMAT </w:instrText>
    </w:r>
    <w:r>
      <w:fldChar w:fldCharType="separate"/>
    </w:r>
    <w:r>
      <w:t>GB/T 35113—XXXX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8AEB8CF"/>
    <w:multiLevelType w:val="singleLevel"/>
    <w:tmpl w:val="08AEB8CF"/>
    <w:lvl w:ilvl="0" w:tentative="0">
      <w:start w:val="1"/>
      <w:numFmt w:val="decimal"/>
      <w:lvlText w:val="%1)"/>
      <w:lvlJc w:val="left"/>
      <w:pPr>
        <w:ind w:left="425" w:hanging="425"/>
      </w:pPr>
      <w:rPr>
        <w:rFonts w:hint="default"/>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762F131"/>
    <w:multiLevelType w:val="singleLevel"/>
    <w:tmpl w:val="2762F131"/>
    <w:lvl w:ilvl="0" w:tentative="0">
      <w:start w:val="1"/>
      <w:numFmt w:val="decimal"/>
      <w:lvlText w:val="%1)"/>
      <w:lvlJc w:val="left"/>
      <w:pPr>
        <w:ind w:left="425" w:hanging="425"/>
      </w:pPr>
      <w:rPr>
        <w:rFonts w:hint="default"/>
      </w:r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823826"/>
    <w:multiLevelType w:val="multilevel"/>
    <w:tmpl w:val="76823826"/>
    <w:lvl w:ilvl="0" w:tentative="0">
      <w:start w:val="1"/>
      <w:numFmt w:val="decimal"/>
      <w:lvlText w:val="%1）"/>
      <w:lvlJc w:val="left"/>
      <w:pPr>
        <w:ind w:left="1211" w:hanging="360"/>
      </w:pPr>
      <w:rPr>
        <w:rFonts w:hint="default" w:hAnsi="宋体"/>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33">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6"/>
  </w:num>
  <w:num w:numId="4">
    <w:abstractNumId w:val="25"/>
  </w:num>
  <w:num w:numId="5">
    <w:abstractNumId w:val="20"/>
  </w:num>
  <w:num w:numId="6">
    <w:abstractNumId w:val="15"/>
  </w:num>
  <w:num w:numId="7">
    <w:abstractNumId w:val="9"/>
  </w:num>
  <w:num w:numId="8">
    <w:abstractNumId w:val="3"/>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3"/>
  </w:num>
  <w:num w:numId="23">
    <w:abstractNumId w:val="22"/>
  </w:num>
  <w:num w:numId="24">
    <w:abstractNumId w:val="7"/>
  </w:num>
  <w:num w:numId="25">
    <w:abstractNumId w:val="28"/>
  </w:num>
  <w:num w:numId="26">
    <w:abstractNumId w:val="30"/>
  </w:num>
  <w:num w:numId="27">
    <w:abstractNumId w:val="2"/>
  </w:num>
  <w:num w:numId="28">
    <w:abstractNumId w:val="5"/>
  </w:num>
  <w:num w:numId="29">
    <w:abstractNumId w:val="16"/>
  </w:num>
  <w:num w:numId="30">
    <w:abstractNumId w:val="26"/>
  </w:num>
  <w:num w:numId="31">
    <w:abstractNumId w:val="24"/>
  </w:num>
  <w:num w:numId="32">
    <w:abstractNumId w:val="32"/>
  </w:num>
  <w:num w:numId="33">
    <w:abstractNumId w:val="4"/>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h2xYZ1KLaezcn1VKXwLhrvVwDo0NQzD10ib98TjpQW3zrN0q2xEEcNc1QidWhmEepT+8hdB1pc+vR1g1NGWGsQ==" w:salt="Wo7hwxM+fsnw6N+8PGPPi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9CF"/>
    <w:rsid w:val="0000040A"/>
    <w:rsid w:val="00000A94"/>
    <w:rsid w:val="00001972"/>
    <w:rsid w:val="00001D2C"/>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494F"/>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F18"/>
    <w:rsid w:val="00086AA1"/>
    <w:rsid w:val="00087A77"/>
    <w:rsid w:val="00090CA6"/>
    <w:rsid w:val="00092B8A"/>
    <w:rsid w:val="00092FB0"/>
    <w:rsid w:val="000934C5"/>
    <w:rsid w:val="00093D25"/>
    <w:rsid w:val="00094D73"/>
    <w:rsid w:val="00096D63"/>
    <w:rsid w:val="000A0B60"/>
    <w:rsid w:val="000A0EB8"/>
    <w:rsid w:val="000A19FC"/>
    <w:rsid w:val="000A296B"/>
    <w:rsid w:val="000A7311"/>
    <w:rsid w:val="000B060F"/>
    <w:rsid w:val="000B1592"/>
    <w:rsid w:val="000B1FF2"/>
    <w:rsid w:val="000B34A1"/>
    <w:rsid w:val="000B3CDA"/>
    <w:rsid w:val="000B6A0B"/>
    <w:rsid w:val="000C09AE"/>
    <w:rsid w:val="000C0F6C"/>
    <w:rsid w:val="000C11DB"/>
    <w:rsid w:val="000C2FBD"/>
    <w:rsid w:val="000C3E10"/>
    <w:rsid w:val="000C4B41"/>
    <w:rsid w:val="000C57D6"/>
    <w:rsid w:val="000C7666"/>
    <w:rsid w:val="000D0A9C"/>
    <w:rsid w:val="000D1795"/>
    <w:rsid w:val="000D329A"/>
    <w:rsid w:val="000D4B9C"/>
    <w:rsid w:val="000D4EB6"/>
    <w:rsid w:val="000D676F"/>
    <w:rsid w:val="000D753B"/>
    <w:rsid w:val="000E0F5E"/>
    <w:rsid w:val="000E4C9E"/>
    <w:rsid w:val="000E6FD7"/>
    <w:rsid w:val="000F06E1"/>
    <w:rsid w:val="000F0E3C"/>
    <w:rsid w:val="000F19D5"/>
    <w:rsid w:val="000F21A4"/>
    <w:rsid w:val="000F2E41"/>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605"/>
    <w:rsid w:val="001852C9"/>
    <w:rsid w:val="00190087"/>
    <w:rsid w:val="001913C4"/>
    <w:rsid w:val="0019330D"/>
    <w:rsid w:val="0019348F"/>
    <w:rsid w:val="00193A07"/>
    <w:rsid w:val="00194C95"/>
    <w:rsid w:val="00195C34"/>
    <w:rsid w:val="001A1A53"/>
    <w:rsid w:val="001A234A"/>
    <w:rsid w:val="001B06E8"/>
    <w:rsid w:val="001B36CE"/>
    <w:rsid w:val="001B71D0"/>
    <w:rsid w:val="001B71EE"/>
    <w:rsid w:val="001C04A8"/>
    <w:rsid w:val="001C2C03"/>
    <w:rsid w:val="001C38AD"/>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036"/>
    <w:rsid w:val="001E73AB"/>
    <w:rsid w:val="001F092D"/>
    <w:rsid w:val="001F143A"/>
    <w:rsid w:val="001F1605"/>
    <w:rsid w:val="001F1BB5"/>
    <w:rsid w:val="001F2508"/>
    <w:rsid w:val="001F4816"/>
    <w:rsid w:val="001F69B4"/>
    <w:rsid w:val="001F77C7"/>
    <w:rsid w:val="00200183"/>
    <w:rsid w:val="0020107D"/>
    <w:rsid w:val="00202AA4"/>
    <w:rsid w:val="00202CD5"/>
    <w:rsid w:val="002031F7"/>
    <w:rsid w:val="002040E6"/>
    <w:rsid w:val="0020527B"/>
    <w:rsid w:val="00206A05"/>
    <w:rsid w:val="00210B15"/>
    <w:rsid w:val="002118B4"/>
    <w:rsid w:val="00212109"/>
    <w:rsid w:val="002142EA"/>
    <w:rsid w:val="002204BB"/>
    <w:rsid w:val="00221B79"/>
    <w:rsid w:val="00221C6B"/>
    <w:rsid w:val="002253A1"/>
    <w:rsid w:val="00225CF8"/>
    <w:rsid w:val="0022794E"/>
    <w:rsid w:val="00233D64"/>
    <w:rsid w:val="0023482A"/>
    <w:rsid w:val="002359CB"/>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76C1E"/>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2F11"/>
    <w:rsid w:val="002F30E0"/>
    <w:rsid w:val="002F35E4"/>
    <w:rsid w:val="002F3730"/>
    <w:rsid w:val="002F38E1"/>
    <w:rsid w:val="002F5AF1"/>
    <w:rsid w:val="002F7AF6"/>
    <w:rsid w:val="00300E63"/>
    <w:rsid w:val="00301836"/>
    <w:rsid w:val="00302F5F"/>
    <w:rsid w:val="0030441D"/>
    <w:rsid w:val="00304959"/>
    <w:rsid w:val="00306063"/>
    <w:rsid w:val="00313B85"/>
    <w:rsid w:val="00314BDF"/>
    <w:rsid w:val="00317988"/>
    <w:rsid w:val="003221B4"/>
    <w:rsid w:val="00322E62"/>
    <w:rsid w:val="00324EDD"/>
    <w:rsid w:val="00336C64"/>
    <w:rsid w:val="00337162"/>
    <w:rsid w:val="0034194F"/>
    <w:rsid w:val="00344605"/>
    <w:rsid w:val="003474AA"/>
    <w:rsid w:val="00350D1D"/>
    <w:rsid w:val="00352C83"/>
    <w:rsid w:val="003615D2"/>
    <w:rsid w:val="0036429C"/>
    <w:rsid w:val="00364A53"/>
    <w:rsid w:val="00364CE0"/>
    <w:rsid w:val="003654CB"/>
    <w:rsid w:val="00365F86"/>
    <w:rsid w:val="00365F87"/>
    <w:rsid w:val="0036636A"/>
    <w:rsid w:val="003705F4"/>
    <w:rsid w:val="00370D58"/>
    <w:rsid w:val="00371316"/>
    <w:rsid w:val="00376713"/>
    <w:rsid w:val="00381815"/>
    <w:rsid w:val="003819AF"/>
    <w:rsid w:val="003820E9"/>
    <w:rsid w:val="00382DE7"/>
    <w:rsid w:val="00384FFC"/>
    <w:rsid w:val="003856B3"/>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46A"/>
    <w:rsid w:val="003B5BF0"/>
    <w:rsid w:val="003B60BF"/>
    <w:rsid w:val="003B62FB"/>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58C1"/>
    <w:rsid w:val="004467FB"/>
    <w:rsid w:val="00452D6B"/>
    <w:rsid w:val="00454484"/>
    <w:rsid w:val="0045517B"/>
    <w:rsid w:val="00456513"/>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9622A"/>
    <w:rsid w:val="004A12DF"/>
    <w:rsid w:val="004A1BA8"/>
    <w:rsid w:val="004A3470"/>
    <w:rsid w:val="004A4B57"/>
    <w:rsid w:val="004A63FA"/>
    <w:rsid w:val="004B2701"/>
    <w:rsid w:val="004B2E1B"/>
    <w:rsid w:val="004B3E93"/>
    <w:rsid w:val="004B4C3C"/>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D30"/>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525"/>
    <w:rsid w:val="005C1F73"/>
    <w:rsid w:val="005C29B8"/>
    <w:rsid w:val="005C5F21"/>
    <w:rsid w:val="005C7156"/>
    <w:rsid w:val="005D0C75"/>
    <w:rsid w:val="005D4171"/>
    <w:rsid w:val="005D6A95"/>
    <w:rsid w:val="005D6B2C"/>
    <w:rsid w:val="005D6D9C"/>
    <w:rsid w:val="005E2335"/>
    <w:rsid w:val="005E34CA"/>
    <w:rsid w:val="005E3C18"/>
    <w:rsid w:val="005E4B3D"/>
    <w:rsid w:val="005E7881"/>
    <w:rsid w:val="005E78E0"/>
    <w:rsid w:val="005F0D9C"/>
    <w:rsid w:val="005F284E"/>
    <w:rsid w:val="006002B2"/>
    <w:rsid w:val="006015CE"/>
    <w:rsid w:val="00604784"/>
    <w:rsid w:val="00605998"/>
    <w:rsid w:val="00606419"/>
    <w:rsid w:val="00607D29"/>
    <w:rsid w:val="00612952"/>
    <w:rsid w:val="00614CC1"/>
    <w:rsid w:val="00615A9D"/>
    <w:rsid w:val="006162BE"/>
    <w:rsid w:val="00616BBB"/>
    <w:rsid w:val="00617387"/>
    <w:rsid w:val="006252D8"/>
    <w:rsid w:val="006259BC"/>
    <w:rsid w:val="0062636B"/>
    <w:rsid w:val="00626922"/>
    <w:rsid w:val="00626969"/>
    <w:rsid w:val="00632182"/>
    <w:rsid w:val="00632AE0"/>
    <w:rsid w:val="00633C17"/>
    <w:rsid w:val="00636E3E"/>
    <w:rsid w:val="006371A3"/>
    <w:rsid w:val="006379F7"/>
    <w:rsid w:val="00637E4D"/>
    <w:rsid w:val="00640620"/>
    <w:rsid w:val="00641A1F"/>
    <w:rsid w:val="006420DE"/>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1DA"/>
    <w:rsid w:val="006C1BBA"/>
    <w:rsid w:val="006C2079"/>
    <w:rsid w:val="006C5A62"/>
    <w:rsid w:val="006C5D68"/>
    <w:rsid w:val="006C6976"/>
    <w:rsid w:val="006C6DD0"/>
    <w:rsid w:val="006D04EA"/>
    <w:rsid w:val="006D16C4"/>
    <w:rsid w:val="006D3E96"/>
    <w:rsid w:val="006D4515"/>
    <w:rsid w:val="006D4BB1"/>
    <w:rsid w:val="006D53F9"/>
    <w:rsid w:val="006D6593"/>
    <w:rsid w:val="006E39CF"/>
    <w:rsid w:val="006E5DEE"/>
    <w:rsid w:val="006F03A8"/>
    <w:rsid w:val="006F0ED7"/>
    <w:rsid w:val="006F2ACA"/>
    <w:rsid w:val="006F2ADC"/>
    <w:rsid w:val="006F2BFE"/>
    <w:rsid w:val="006F31E9"/>
    <w:rsid w:val="006F6284"/>
    <w:rsid w:val="007002C5"/>
    <w:rsid w:val="007041A8"/>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B21"/>
    <w:rsid w:val="007A2E12"/>
    <w:rsid w:val="007A3475"/>
    <w:rsid w:val="007A41C8"/>
    <w:rsid w:val="007A54CE"/>
    <w:rsid w:val="007A6118"/>
    <w:rsid w:val="007A75D3"/>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5307"/>
    <w:rsid w:val="007D6518"/>
    <w:rsid w:val="007D76BD"/>
    <w:rsid w:val="007E0BF1"/>
    <w:rsid w:val="007F0ED8"/>
    <w:rsid w:val="007F0F63"/>
    <w:rsid w:val="007F75CE"/>
    <w:rsid w:val="008013A4"/>
    <w:rsid w:val="0080200A"/>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4E3"/>
    <w:rsid w:val="008269DD"/>
    <w:rsid w:val="00830621"/>
    <w:rsid w:val="0083348C"/>
    <w:rsid w:val="008373D3"/>
    <w:rsid w:val="00840617"/>
    <w:rsid w:val="00842A47"/>
    <w:rsid w:val="00843C13"/>
    <w:rsid w:val="008454F8"/>
    <w:rsid w:val="00851342"/>
    <w:rsid w:val="0085173A"/>
    <w:rsid w:val="008603CE"/>
    <w:rsid w:val="008620FC"/>
    <w:rsid w:val="008627A5"/>
    <w:rsid w:val="00863E05"/>
    <w:rsid w:val="00865ACA"/>
    <w:rsid w:val="00865D28"/>
    <w:rsid w:val="00865F85"/>
    <w:rsid w:val="00867C10"/>
    <w:rsid w:val="00870439"/>
    <w:rsid w:val="00870DA1"/>
    <w:rsid w:val="008830A2"/>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42F"/>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03E9"/>
    <w:rsid w:val="00952C52"/>
    <w:rsid w:val="00952DF5"/>
    <w:rsid w:val="00953604"/>
    <w:rsid w:val="009610DC"/>
    <w:rsid w:val="00961490"/>
    <w:rsid w:val="0096381A"/>
    <w:rsid w:val="00965E04"/>
    <w:rsid w:val="009674AD"/>
    <w:rsid w:val="0097094E"/>
    <w:rsid w:val="00970CDC"/>
    <w:rsid w:val="00971362"/>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5429"/>
    <w:rsid w:val="009A72AD"/>
    <w:rsid w:val="009A7895"/>
    <w:rsid w:val="009B09E0"/>
    <w:rsid w:val="009B0BC5"/>
    <w:rsid w:val="009B1247"/>
    <w:rsid w:val="009B6029"/>
    <w:rsid w:val="009B62C5"/>
    <w:rsid w:val="009B6971"/>
    <w:rsid w:val="009C27F1"/>
    <w:rsid w:val="009C3152"/>
    <w:rsid w:val="009C4CFA"/>
    <w:rsid w:val="009C5070"/>
    <w:rsid w:val="009D112C"/>
    <w:rsid w:val="009D47FA"/>
    <w:rsid w:val="009D50D2"/>
    <w:rsid w:val="009D6BCA"/>
    <w:rsid w:val="009E0F62"/>
    <w:rsid w:val="009E4A58"/>
    <w:rsid w:val="009E5A2D"/>
    <w:rsid w:val="009E5AB2"/>
    <w:rsid w:val="009E6219"/>
    <w:rsid w:val="009F03B3"/>
    <w:rsid w:val="009F7024"/>
    <w:rsid w:val="00A01757"/>
    <w:rsid w:val="00A028C0"/>
    <w:rsid w:val="00A02BAE"/>
    <w:rsid w:val="00A06A6B"/>
    <w:rsid w:val="00A07E47"/>
    <w:rsid w:val="00A129D0"/>
    <w:rsid w:val="00A12C33"/>
    <w:rsid w:val="00A138BA"/>
    <w:rsid w:val="00A14C8E"/>
    <w:rsid w:val="00A153D9"/>
    <w:rsid w:val="00A15F09"/>
    <w:rsid w:val="00A169B6"/>
    <w:rsid w:val="00A20865"/>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63F7"/>
    <w:rsid w:val="00A96AD8"/>
    <w:rsid w:val="00AA052C"/>
    <w:rsid w:val="00AA1E45"/>
    <w:rsid w:val="00AA2A24"/>
    <w:rsid w:val="00AA2F03"/>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F0C18"/>
    <w:rsid w:val="00AF4510"/>
    <w:rsid w:val="00AF47C5"/>
    <w:rsid w:val="00AF5398"/>
    <w:rsid w:val="00B049AF"/>
    <w:rsid w:val="00B07242"/>
    <w:rsid w:val="00B10534"/>
    <w:rsid w:val="00B113DB"/>
    <w:rsid w:val="00B11D8A"/>
    <w:rsid w:val="00B12981"/>
    <w:rsid w:val="00B147DD"/>
    <w:rsid w:val="00B156FD"/>
    <w:rsid w:val="00B21F61"/>
    <w:rsid w:val="00B2211A"/>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675B7"/>
    <w:rsid w:val="00B72880"/>
    <w:rsid w:val="00B758BF"/>
    <w:rsid w:val="00B818F3"/>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22F3"/>
    <w:rsid w:val="00BE49EE"/>
    <w:rsid w:val="00BE5B52"/>
    <w:rsid w:val="00BE6EC3"/>
    <w:rsid w:val="00BE7B8D"/>
    <w:rsid w:val="00BF0993"/>
    <w:rsid w:val="00BF10A9"/>
    <w:rsid w:val="00BF1703"/>
    <w:rsid w:val="00BF231C"/>
    <w:rsid w:val="00BF51E5"/>
    <w:rsid w:val="00BF74A6"/>
    <w:rsid w:val="00C00318"/>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07A6"/>
    <w:rsid w:val="00C42130"/>
    <w:rsid w:val="00C423A4"/>
    <w:rsid w:val="00C44BF5"/>
    <w:rsid w:val="00C55232"/>
    <w:rsid w:val="00C553A4"/>
    <w:rsid w:val="00C55A06"/>
    <w:rsid w:val="00C55D03"/>
    <w:rsid w:val="00C601BC"/>
    <w:rsid w:val="00C6329F"/>
    <w:rsid w:val="00C63340"/>
    <w:rsid w:val="00C643F9"/>
    <w:rsid w:val="00C64E95"/>
    <w:rsid w:val="00C655FD"/>
    <w:rsid w:val="00C66422"/>
    <w:rsid w:val="00C7047F"/>
    <w:rsid w:val="00C71372"/>
    <w:rsid w:val="00C72410"/>
    <w:rsid w:val="00C7287F"/>
    <w:rsid w:val="00C72D46"/>
    <w:rsid w:val="00C72F0E"/>
    <w:rsid w:val="00C76543"/>
    <w:rsid w:val="00C80CB8"/>
    <w:rsid w:val="00C819F8"/>
    <w:rsid w:val="00C8248C"/>
    <w:rsid w:val="00C84E33"/>
    <w:rsid w:val="00C86D6F"/>
    <w:rsid w:val="00C905FC"/>
    <w:rsid w:val="00C92D03"/>
    <w:rsid w:val="00C9319C"/>
    <w:rsid w:val="00C9435D"/>
    <w:rsid w:val="00C9517F"/>
    <w:rsid w:val="00C96741"/>
    <w:rsid w:val="00CA2D1B"/>
    <w:rsid w:val="00CA482B"/>
    <w:rsid w:val="00CA5A4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28F5"/>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5975"/>
    <w:rsid w:val="00D06AB1"/>
    <w:rsid w:val="00D072ED"/>
    <w:rsid w:val="00D07A16"/>
    <w:rsid w:val="00D1067E"/>
    <w:rsid w:val="00D10F50"/>
    <w:rsid w:val="00D11272"/>
    <w:rsid w:val="00D126F5"/>
    <w:rsid w:val="00D1489E"/>
    <w:rsid w:val="00D20737"/>
    <w:rsid w:val="00D21E81"/>
    <w:rsid w:val="00D223DE"/>
    <w:rsid w:val="00D255BB"/>
    <w:rsid w:val="00D25E37"/>
    <w:rsid w:val="00D2661A"/>
    <w:rsid w:val="00D27582"/>
    <w:rsid w:val="00D3227D"/>
    <w:rsid w:val="00D32719"/>
    <w:rsid w:val="00D33333"/>
    <w:rsid w:val="00D352A2"/>
    <w:rsid w:val="00D40A83"/>
    <w:rsid w:val="00D4162B"/>
    <w:rsid w:val="00D4514F"/>
    <w:rsid w:val="00D451E2"/>
    <w:rsid w:val="00D4545E"/>
    <w:rsid w:val="00D45E89"/>
    <w:rsid w:val="00D45E8D"/>
    <w:rsid w:val="00D466AE"/>
    <w:rsid w:val="00D4734F"/>
    <w:rsid w:val="00D51BF3"/>
    <w:rsid w:val="00D63276"/>
    <w:rsid w:val="00D66846"/>
    <w:rsid w:val="00D675FB"/>
    <w:rsid w:val="00D71F25"/>
    <w:rsid w:val="00D77031"/>
    <w:rsid w:val="00D84941"/>
    <w:rsid w:val="00D84FA1"/>
    <w:rsid w:val="00D851F0"/>
    <w:rsid w:val="00D86DB7"/>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0823"/>
    <w:rsid w:val="00DC3067"/>
    <w:rsid w:val="00DC370B"/>
    <w:rsid w:val="00DC5828"/>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0679C"/>
    <w:rsid w:val="00E11A85"/>
    <w:rsid w:val="00E12495"/>
    <w:rsid w:val="00E15C2C"/>
    <w:rsid w:val="00E15CCD"/>
    <w:rsid w:val="00E202EF"/>
    <w:rsid w:val="00E20878"/>
    <w:rsid w:val="00E210B5"/>
    <w:rsid w:val="00E2552F"/>
    <w:rsid w:val="00E3137A"/>
    <w:rsid w:val="00E32CCF"/>
    <w:rsid w:val="00E34A98"/>
    <w:rsid w:val="00E3592E"/>
    <w:rsid w:val="00E35D1E"/>
    <w:rsid w:val="00E364F9"/>
    <w:rsid w:val="00E365FA"/>
    <w:rsid w:val="00E40C94"/>
    <w:rsid w:val="00E43C00"/>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6757C"/>
    <w:rsid w:val="00E70388"/>
    <w:rsid w:val="00E70F92"/>
    <w:rsid w:val="00E74C54"/>
    <w:rsid w:val="00E77A03"/>
    <w:rsid w:val="00E80FA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2042"/>
    <w:rsid w:val="00F25BB6"/>
    <w:rsid w:val="00F26B7E"/>
    <w:rsid w:val="00F27A3B"/>
    <w:rsid w:val="00F3117F"/>
    <w:rsid w:val="00F33817"/>
    <w:rsid w:val="00F36710"/>
    <w:rsid w:val="00F420D5"/>
    <w:rsid w:val="00F451EA"/>
    <w:rsid w:val="00F45447"/>
    <w:rsid w:val="00F456C6"/>
    <w:rsid w:val="00F4577B"/>
    <w:rsid w:val="00F46496"/>
    <w:rsid w:val="00F46C6E"/>
    <w:rsid w:val="00F474D0"/>
    <w:rsid w:val="00F50179"/>
    <w:rsid w:val="00F56511"/>
    <w:rsid w:val="00F6194E"/>
    <w:rsid w:val="00F623AC"/>
    <w:rsid w:val="00F6412A"/>
    <w:rsid w:val="00F65893"/>
    <w:rsid w:val="00F66A4A"/>
    <w:rsid w:val="00F71E22"/>
    <w:rsid w:val="00F72142"/>
    <w:rsid w:val="00F72AE7"/>
    <w:rsid w:val="00F843C8"/>
    <w:rsid w:val="00F84934"/>
    <w:rsid w:val="00F84FD0"/>
    <w:rsid w:val="00F859A8"/>
    <w:rsid w:val="00F877BD"/>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1E7C"/>
    <w:rsid w:val="00FC2CB7"/>
    <w:rsid w:val="00FC4090"/>
    <w:rsid w:val="00FC55B4"/>
    <w:rsid w:val="00FC76A6"/>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 w:val="02966F04"/>
    <w:rsid w:val="02E512C7"/>
    <w:rsid w:val="032C338F"/>
    <w:rsid w:val="04D80113"/>
    <w:rsid w:val="06157CBD"/>
    <w:rsid w:val="0AB07A61"/>
    <w:rsid w:val="0ACB31DC"/>
    <w:rsid w:val="0C8C699B"/>
    <w:rsid w:val="0F97392F"/>
    <w:rsid w:val="14A74423"/>
    <w:rsid w:val="16AF4B18"/>
    <w:rsid w:val="172B155C"/>
    <w:rsid w:val="181E6AA7"/>
    <w:rsid w:val="1E4407F2"/>
    <w:rsid w:val="1F3655FA"/>
    <w:rsid w:val="20A02C61"/>
    <w:rsid w:val="21821CC3"/>
    <w:rsid w:val="23153DC3"/>
    <w:rsid w:val="24A05C19"/>
    <w:rsid w:val="29223568"/>
    <w:rsid w:val="295E7803"/>
    <w:rsid w:val="29B378E4"/>
    <w:rsid w:val="29F146CC"/>
    <w:rsid w:val="2A4F4AE7"/>
    <w:rsid w:val="2A657113"/>
    <w:rsid w:val="2A9E5BBA"/>
    <w:rsid w:val="2B7A2802"/>
    <w:rsid w:val="2CB3197B"/>
    <w:rsid w:val="2E867A20"/>
    <w:rsid w:val="2EBD11F7"/>
    <w:rsid w:val="2ED81DE8"/>
    <w:rsid w:val="3069608C"/>
    <w:rsid w:val="313B31F9"/>
    <w:rsid w:val="32177B1C"/>
    <w:rsid w:val="338E4F27"/>
    <w:rsid w:val="373E35FE"/>
    <w:rsid w:val="375F2433"/>
    <w:rsid w:val="37983C1D"/>
    <w:rsid w:val="37AC3AFF"/>
    <w:rsid w:val="39586350"/>
    <w:rsid w:val="3C335C3C"/>
    <w:rsid w:val="3DDD2303"/>
    <w:rsid w:val="3F9B2476"/>
    <w:rsid w:val="43870DC0"/>
    <w:rsid w:val="45B62F5F"/>
    <w:rsid w:val="45C94928"/>
    <w:rsid w:val="48FE5A5D"/>
    <w:rsid w:val="4D457613"/>
    <w:rsid w:val="4E2318C7"/>
    <w:rsid w:val="50F11321"/>
    <w:rsid w:val="50F23B7E"/>
    <w:rsid w:val="533455A3"/>
    <w:rsid w:val="53B01FD9"/>
    <w:rsid w:val="53D0401B"/>
    <w:rsid w:val="5563028F"/>
    <w:rsid w:val="55AF0FA8"/>
    <w:rsid w:val="563B15A0"/>
    <w:rsid w:val="57995679"/>
    <w:rsid w:val="598732AA"/>
    <w:rsid w:val="59FE5684"/>
    <w:rsid w:val="5B51760D"/>
    <w:rsid w:val="5E2771F1"/>
    <w:rsid w:val="65536205"/>
    <w:rsid w:val="681C1AF7"/>
    <w:rsid w:val="68D777CC"/>
    <w:rsid w:val="6AD311EC"/>
    <w:rsid w:val="72253C9E"/>
    <w:rsid w:val="738549F4"/>
    <w:rsid w:val="75F4278B"/>
    <w:rsid w:val="799F5182"/>
    <w:rsid w:val="7B18439F"/>
    <w:rsid w:val="7DB55ED6"/>
    <w:rsid w:val="7DDE0E67"/>
    <w:rsid w:val="7E0331EF"/>
    <w:rsid w:val="7EDB1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rFonts w:ascii="Times New Roman" w:hAnsi="Times New Roman"/>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56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style>
  <w:style w:type="paragraph" w:customStyle="1" w:styleId="189">
    <w:name w:val="标准文件_一级项2"/>
    <w:basedOn w:val="56"/>
    <w:qFormat/>
    <w:uiPriority w:val="0"/>
    <w:pPr>
      <w:numPr>
        <w:ilvl w:val="0"/>
        <w:numId w:val="31"/>
      </w:numPr>
      <w:spacing w:line="300" w:lineRule="exact"/>
      <w:ind w:left="1271" w:hanging="420"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29">
    <w:name w:val="段"/>
    <w:link w:val="23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0">
    <w:name w:val="段 Char"/>
    <w:link w:val="229"/>
    <w:autoRedefine/>
    <w:qFormat/>
    <w:uiPriority w:val="0"/>
    <w:rPr>
      <w:rFonts w:ascii="宋体" w:hAnsi="Times New Roman"/>
      <w:sz w:val="21"/>
    </w:rPr>
  </w:style>
  <w:style w:type="paragraph" w:customStyle="1" w:styleId="231">
    <w:name w:val="注：（正文）"/>
    <w:basedOn w:val="1"/>
    <w:next w:val="229"/>
    <w:autoRedefine/>
    <w:qFormat/>
    <w:uiPriority w:val="0"/>
    <w:pPr>
      <w:autoSpaceDE w:val="0"/>
      <w:autoSpaceDN w:val="0"/>
      <w:adjustRightInd/>
      <w:spacing w:line="240" w:lineRule="auto"/>
    </w:pPr>
    <w:rPr>
      <w:rFonts w:ascii="宋体" w:hAnsi="Times New Roman"/>
      <w:kern w:val="0"/>
      <w:sz w:val="18"/>
      <w:szCs w:val="18"/>
    </w:rPr>
  </w:style>
  <w:style w:type="paragraph" w:styleId="23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7.wmf"/><Relationship Id="rId25" Type="http://schemas.openxmlformats.org/officeDocument/2006/relationships/oleObject" Target="embeddings/oleObject5.bin"/><Relationship Id="rId24" Type="http://schemas.openxmlformats.org/officeDocument/2006/relationships/image" Target="media/image6.wmf"/><Relationship Id="rId23" Type="http://schemas.openxmlformats.org/officeDocument/2006/relationships/oleObject" Target="embeddings/oleObject4.bin"/><Relationship Id="rId22" Type="http://schemas.openxmlformats.org/officeDocument/2006/relationships/image" Target="media/image5.wmf"/><Relationship Id="rId21" Type="http://schemas.openxmlformats.org/officeDocument/2006/relationships/oleObject" Target="embeddings/oleObject3.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wmf"/><Relationship Id="rId17" Type="http://schemas.openxmlformats.org/officeDocument/2006/relationships/oleObject" Target="embeddings/oleObject1.bin"/><Relationship Id="rId16" Type="http://schemas.openxmlformats.org/officeDocument/2006/relationships/image" Target="media/image2.tiff"/><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812EF5E1C485EA7A4DC8A7CC97254"/>
        <w:style w:val=""/>
        <w:category>
          <w:name w:val="常规"/>
          <w:gallery w:val="placeholder"/>
        </w:category>
        <w:types>
          <w:type w:val="bbPlcHdr"/>
        </w:types>
        <w:behaviors>
          <w:behavior w:val="content"/>
        </w:behaviors>
        <w:description w:val=""/>
        <w:guid w:val="{38B50DED-C59E-4200-B614-E532CA738C2B}"/>
      </w:docPartPr>
      <w:docPartBody>
        <w:p w14:paraId="7BA0419E">
          <w:pPr>
            <w:pStyle w:val="5"/>
          </w:pPr>
          <w:r>
            <w:rPr>
              <w:rStyle w:val="4"/>
              <w:rFonts w:hint="eastAsia"/>
            </w:rPr>
            <w:t>单击或点击此处输入文字。</w:t>
          </w:r>
        </w:p>
      </w:docPartBody>
    </w:docPart>
    <w:docPart>
      <w:docPartPr>
        <w:name w:val="3365F9C482E441FC8EE10B47976E4EF4"/>
        <w:style w:val=""/>
        <w:category>
          <w:name w:val="常规"/>
          <w:gallery w:val="placeholder"/>
        </w:category>
        <w:types>
          <w:type w:val="bbPlcHdr"/>
        </w:types>
        <w:behaviors>
          <w:behavior w:val="content"/>
        </w:behaviors>
        <w:description w:val=""/>
        <w:guid w:val="{A1CB4632-0815-4D17-9CE1-65160F330097}"/>
      </w:docPartPr>
      <w:docPartBody>
        <w:p w14:paraId="377BF578">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305"/>
    <w:rsid w:val="002C0305"/>
    <w:rsid w:val="004D05AD"/>
    <w:rsid w:val="00C32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812EF5E1C485EA7A4DC8A7CC9725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365F9C482E441FC8EE10B47976E4EF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EB0DFB-975F-4030-8CA4-B795EED9D1E2}">
  <ds:schemaRefs/>
</ds:datastoreItem>
</file>

<file path=docProps/app.xml><?xml version="1.0" encoding="utf-8"?>
<Properties xmlns="http://schemas.openxmlformats.org/officeDocument/2006/extended-properties" xmlns:vt="http://schemas.openxmlformats.org/officeDocument/2006/docPropsVTypes">
  <Template>国家标准</Template>
  <Pages>20</Pages>
  <Words>10662</Words>
  <Characters>13260</Characters>
  <Lines>127</Lines>
  <Paragraphs>35</Paragraphs>
  <TotalTime>7</TotalTime>
  <ScaleCrop>false</ScaleCrop>
  <LinksUpToDate>false</LinksUpToDate>
  <CharactersWithSpaces>14000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2026-06-09T07:02:00Z</dcterms:created>
  <dc:creator>User</dc:creator>
  <cp:lastModifiedBy>张蕾</cp:lastModifiedBy>
  <cp:lastPrinted>2021-02-02T07:44:00Z</cp:lastPrinted>
  <dcterms:modified xsi:type="dcterms:W3CDTF">2026-09-09T10:57:05Z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eyJoZGlkIjoiZWNhM2U4YzE4YmZiOGI3ZDllN2JmY2M4NDFlMGQwYTEiLCJ1c2VySWQiOiI0NjcxOTUxMjYifQ==</vt:lpwstr>
  </property>
  <property fmtid="{D5CDD505-2E9C-101B-9397-08002B2CF9AE}" pid="15" name="KSOProductBuildVer">
    <vt:lpwstr>2052-12.1.0.28505</vt:lpwstr>
  </property>
  <property fmtid="{D5CDD505-2E9C-101B-9397-08002B2CF9AE}" pid="16" name="ICV">
    <vt:lpwstr>5AF3F0A3AA834B09B6BBEBD83145BA61_12</vt:lpwstr>
  </property>
</Properties>
</file>